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44" w:rsidRPr="004C6EEE" w:rsidRDefault="007929B1" w:rsidP="00003703">
      <w:pPr>
        <w:pStyle w:val="Spacerparatopoffirstpage"/>
        <w:sectPr w:rsidR="00A62D44" w:rsidRPr="004C6EEE" w:rsidSect="00BE5224">
          <w:footerReference w:type="default" r:id="rId9"/>
          <w:pgSz w:w="11906" w:h="16838" w:code="9"/>
          <w:pgMar w:top="-397" w:right="851" w:bottom="1134" w:left="851" w:header="510" w:footer="510" w:gutter="0"/>
          <w:cols w:space="708"/>
          <w:docGrid w:linePitch="360"/>
        </w:sectPr>
      </w:pPr>
      <w:r>
        <w:rPr>
          <w:lang w:eastAsia="en-AU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80" cy="2297430"/>
            <wp:effectExtent l="0" t="0" r="1270" b="7620"/>
            <wp:wrapNone/>
            <wp:docPr id="2" name="Picture 31" descr="Description: Victorian Housing Re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scription: Victorian Housing Regis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09"/>
      </w:tblGrid>
      <w:tr w:rsidR="00AD784C" w:rsidTr="00C62D27">
        <w:trPr>
          <w:trHeight w:val="1423"/>
        </w:trPr>
        <w:tc>
          <w:tcPr>
            <w:tcW w:w="8809" w:type="dxa"/>
            <w:shd w:val="clear" w:color="auto" w:fill="auto"/>
            <w:vAlign w:val="bottom"/>
          </w:tcPr>
          <w:p w:rsidR="00AD784C" w:rsidRPr="00161AA0" w:rsidRDefault="00CC6B0E" w:rsidP="00AD1729">
            <w:pPr>
              <w:pStyle w:val="DHHSmainheading"/>
            </w:pPr>
            <w:r>
              <w:t xml:space="preserve">4. </w:t>
            </w:r>
            <w:r w:rsidR="00BE6328">
              <w:t>Making</w:t>
            </w:r>
            <w:r w:rsidR="00121278">
              <w:t xml:space="preserve"> Client Focused</w:t>
            </w:r>
            <w:r w:rsidR="00BE6328">
              <w:t xml:space="preserve"> Decisions</w:t>
            </w:r>
          </w:p>
        </w:tc>
      </w:tr>
      <w:tr w:rsidR="00AD784C" w:rsidTr="00C62D27">
        <w:trPr>
          <w:trHeight w:hRule="exact" w:val="1326"/>
        </w:trPr>
        <w:tc>
          <w:tcPr>
            <w:tcW w:w="8809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BE6328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Operational Guidelines</w:t>
            </w:r>
          </w:p>
        </w:tc>
      </w:tr>
    </w:tbl>
    <w:p w:rsidR="00AD784C" w:rsidRPr="008D2846" w:rsidRDefault="00505C9E" w:rsidP="008D2846">
      <w:pPr>
        <w:pStyle w:val="DHHSTOCheadingfactsheet"/>
      </w:pPr>
      <w:r>
        <w:br w:type="textWrapping" w:clear="all"/>
      </w:r>
      <w:r w:rsidR="00AD784C" w:rsidRPr="008D2846">
        <w:t>Contents</w:t>
      </w:r>
    </w:p>
    <w:p w:rsidR="00924412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507593705" w:history="1">
        <w:r w:rsidR="00924412" w:rsidRPr="00981801">
          <w:rPr>
            <w:rStyle w:val="Hyperlink"/>
          </w:rPr>
          <w:t>When do these operational guidelines apply?</w:t>
        </w:r>
        <w:r w:rsidR="00924412">
          <w:rPr>
            <w:webHidden/>
          </w:rPr>
          <w:tab/>
        </w:r>
        <w:r w:rsidR="00924412">
          <w:rPr>
            <w:webHidden/>
          </w:rPr>
          <w:fldChar w:fldCharType="begin"/>
        </w:r>
        <w:r w:rsidR="00924412">
          <w:rPr>
            <w:webHidden/>
          </w:rPr>
          <w:instrText xml:space="preserve"> PAGEREF _Toc507593705 \h </w:instrText>
        </w:r>
        <w:r w:rsidR="00924412">
          <w:rPr>
            <w:webHidden/>
          </w:rPr>
        </w:r>
        <w:r w:rsidR="00924412">
          <w:rPr>
            <w:webHidden/>
          </w:rPr>
          <w:fldChar w:fldCharType="separate"/>
        </w:r>
        <w:r w:rsidR="00924412">
          <w:rPr>
            <w:webHidden/>
          </w:rPr>
          <w:t>1</w:t>
        </w:r>
        <w:r w:rsidR="00924412">
          <w:rPr>
            <w:webHidden/>
          </w:rPr>
          <w:fldChar w:fldCharType="end"/>
        </w:r>
      </w:hyperlink>
    </w:p>
    <w:p w:rsidR="00924412" w:rsidRDefault="00D36D9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07593706" w:history="1">
        <w:r w:rsidR="00924412" w:rsidRPr="00981801">
          <w:rPr>
            <w:rStyle w:val="Hyperlink"/>
          </w:rPr>
          <w:t>Purpose statement</w:t>
        </w:r>
        <w:r w:rsidR="00924412">
          <w:rPr>
            <w:webHidden/>
          </w:rPr>
          <w:tab/>
        </w:r>
        <w:r w:rsidR="00924412">
          <w:rPr>
            <w:webHidden/>
          </w:rPr>
          <w:fldChar w:fldCharType="begin"/>
        </w:r>
        <w:r w:rsidR="00924412">
          <w:rPr>
            <w:webHidden/>
          </w:rPr>
          <w:instrText xml:space="preserve"> PAGEREF _Toc507593706 \h </w:instrText>
        </w:r>
        <w:r w:rsidR="00924412">
          <w:rPr>
            <w:webHidden/>
          </w:rPr>
        </w:r>
        <w:r w:rsidR="00924412">
          <w:rPr>
            <w:webHidden/>
          </w:rPr>
          <w:fldChar w:fldCharType="separate"/>
        </w:r>
        <w:r w:rsidR="00924412">
          <w:rPr>
            <w:webHidden/>
          </w:rPr>
          <w:t>1</w:t>
        </w:r>
        <w:r w:rsidR="00924412">
          <w:rPr>
            <w:webHidden/>
          </w:rPr>
          <w:fldChar w:fldCharType="end"/>
        </w:r>
      </w:hyperlink>
    </w:p>
    <w:p w:rsidR="00924412" w:rsidRDefault="00D36D9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07593707" w:history="1">
        <w:r w:rsidR="00924412" w:rsidRPr="00981801">
          <w:rPr>
            <w:rStyle w:val="Hyperlink"/>
          </w:rPr>
          <w:t>Making decisions</w:t>
        </w:r>
        <w:r w:rsidR="00924412">
          <w:rPr>
            <w:webHidden/>
          </w:rPr>
          <w:tab/>
        </w:r>
        <w:r w:rsidR="00924412">
          <w:rPr>
            <w:webHidden/>
          </w:rPr>
          <w:fldChar w:fldCharType="begin"/>
        </w:r>
        <w:r w:rsidR="00924412">
          <w:rPr>
            <w:webHidden/>
          </w:rPr>
          <w:instrText xml:space="preserve"> PAGEREF _Toc507593707 \h </w:instrText>
        </w:r>
        <w:r w:rsidR="00924412">
          <w:rPr>
            <w:webHidden/>
          </w:rPr>
        </w:r>
        <w:r w:rsidR="00924412">
          <w:rPr>
            <w:webHidden/>
          </w:rPr>
          <w:fldChar w:fldCharType="separate"/>
        </w:r>
        <w:r w:rsidR="00924412">
          <w:rPr>
            <w:webHidden/>
          </w:rPr>
          <w:t>2</w:t>
        </w:r>
        <w:r w:rsidR="00924412">
          <w:rPr>
            <w:webHidden/>
          </w:rPr>
          <w:fldChar w:fldCharType="end"/>
        </w:r>
      </w:hyperlink>
    </w:p>
    <w:p w:rsidR="00924412" w:rsidRDefault="00D36D9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7593708" w:history="1">
        <w:r w:rsidR="00924412" w:rsidRPr="00981801">
          <w:rPr>
            <w:rStyle w:val="Hyperlink"/>
          </w:rPr>
          <w:t>Guiding principles</w:t>
        </w:r>
        <w:r w:rsidR="00924412">
          <w:rPr>
            <w:webHidden/>
          </w:rPr>
          <w:tab/>
        </w:r>
        <w:r w:rsidR="00924412">
          <w:rPr>
            <w:webHidden/>
          </w:rPr>
          <w:fldChar w:fldCharType="begin"/>
        </w:r>
        <w:r w:rsidR="00924412">
          <w:rPr>
            <w:webHidden/>
          </w:rPr>
          <w:instrText xml:space="preserve"> PAGEREF _Toc507593708 \h </w:instrText>
        </w:r>
        <w:r w:rsidR="00924412">
          <w:rPr>
            <w:webHidden/>
          </w:rPr>
        </w:r>
        <w:r w:rsidR="00924412">
          <w:rPr>
            <w:webHidden/>
          </w:rPr>
          <w:fldChar w:fldCharType="separate"/>
        </w:r>
        <w:r w:rsidR="00924412">
          <w:rPr>
            <w:webHidden/>
          </w:rPr>
          <w:t>2</w:t>
        </w:r>
        <w:r w:rsidR="00924412">
          <w:rPr>
            <w:webHidden/>
          </w:rPr>
          <w:fldChar w:fldCharType="end"/>
        </w:r>
      </w:hyperlink>
    </w:p>
    <w:p w:rsidR="00924412" w:rsidRDefault="00D36D9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7593709" w:history="1">
        <w:r w:rsidR="00924412" w:rsidRPr="00981801">
          <w:rPr>
            <w:rStyle w:val="Hyperlink"/>
          </w:rPr>
          <w:t>Documenting decisions</w:t>
        </w:r>
        <w:r w:rsidR="00924412">
          <w:rPr>
            <w:webHidden/>
          </w:rPr>
          <w:tab/>
        </w:r>
        <w:r w:rsidR="00924412">
          <w:rPr>
            <w:webHidden/>
          </w:rPr>
          <w:fldChar w:fldCharType="begin"/>
        </w:r>
        <w:r w:rsidR="00924412">
          <w:rPr>
            <w:webHidden/>
          </w:rPr>
          <w:instrText xml:space="preserve"> PAGEREF _Toc507593709 \h </w:instrText>
        </w:r>
        <w:r w:rsidR="00924412">
          <w:rPr>
            <w:webHidden/>
          </w:rPr>
        </w:r>
        <w:r w:rsidR="00924412">
          <w:rPr>
            <w:webHidden/>
          </w:rPr>
          <w:fldChar w:fldCharType="separate"/>
        </w:r>
        <w:r w:rsidR="00924412">
          <w:rPr>
            <w:webHidden/>
          </w:rPr>
          <w:t>2</w:t>
        </w:r>
        <w:r w:rsidR="00924412">
          <w:rPr>
            <w:webHidden/>
          </w:rPr>
          <w:fldChar w:fldCharType="end"/>
        </w:r>
      </w:hyperlink>
    </w:p>
    <w:p w:rsidR="00924412" w:rsidRDefault="00D36D9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07593710" w:history="1">
        <w:r w:rsidR="00924412" w:rsidRPr="00981801">
          <w:rPr>
            <w:rStyle w:val="Hyperlink"/>
          </w:rPr>
          <w:t>Seeking a review of a decision</w:t>
        </w:r>
        <w:r w:rsidR="00924412">
          <w:rPr>
            <w:webHidden/>
          </w:rPr>
          <w:tab/>
        </w:r>
        <w:r w:rsidR="00924412">
          <w:rPr>
            <w:webHidden/>
          </w:rPr>
          <w:fldChar w:fldCharType="begin"/>
        </w:r>
        <w:r w:rsidR="00924412">
          <w:rPr>
            <w:webHidden/>
          </w:rPr>
          <w:instrText xml:space="preserve"> PAGEREF _Toc507593710 \h </w:instrText>
        </w:r>
        <w:r w:rsidR="00924412">
          <w:rPr>
            <w:webHidden/>
          </w:rPr>
        </w:r>
        <w:r w:rsidR="00924412">
          <w:rPr>
            <w:webHidden/>
          </w:rPr>
          <w:fldChar w:fldCharType="separate"/>
        </w:r>
        <w:r w:rsidR="00924412">
          <w:rPr>
            <w:webHidden/>
          </w:rPr>
          <w:t>3</w:t>
        </w:r>
        <w:r w:rsidR="00924412">
          <w:rPr>
            <w:webHidden/>
          </w:rPr>
          <w:fldChar w:fldCharType="end"/>
        </w:r>
      </w:hyperlink>
    </w:p>
    <w:p w:rsidR="00924412" w:rsidRDefault="00D36D9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7593711" w:history="1">
        <w:r w:rsidR="00924412" w:rsidRPr="00981801">
          <w:rPr>
            <w:rStyle w:val="Hyperlink"/>
          </w:rPr>
          <w:t>Guiding principles</w:t>
        </w:r>
        <w:r w:rsidR="00924412">
          <w:rPr>
            <w:webHidden/>
          </w:rPr>
          <w:tab/>
        </w:r>
        <w:r w:rsidR="00924412">
          <w:rPr>
            <w:webHidden/>
          </w:rPr>
          <w:fldChar w:fldCharType="begin"/>
        </w:r>
        <w:r w:rsidR="00924412">
          <w:rPr>
            <w:webHidden/>
          </w:rPr>
          <w:instrText xml:space="preserve"> PAGEREF _Toc507593711 \h </w:instrText>
        </w:r>
        <w:r w:rsidR="00924412">
          <w:rPr>
            <w:webHidden/>
          </w:rPr>
        </w:r>
        <w:r w:rsidR="00924412">
          <w:rPr>
            <w:webHidden/>
          </w:rPr>
          <w:fldChar w:fldCharType="separate"/>
        </w:r>
        <w:r w:rsidR="00924412">
          <w:rPr>
            <w:webHidden/>
          </w:rPr>
          <w:t>3</w:t>
        </w:r>
        <w:r w:rsidR="00924412">
          <w:rPr>
            <w:webHidden/>
          </w:rPr>
          <w:fldChar w:fldCharType="end"/>
        </w:r>
      </w:hyperlink>
    </w:p>
    <w:p w:rsidR="00C62D27" w:rsidRDefault="00AD784C" w:rsidP="00E078F1">
      <w:pPr>
        <w:pStyle w:val="DHHSbody"/>
        <w:spacing w:after="0" w:line="240" w:lineRule="auto"/>
        <w:sectPr w:rsidR="00C62D27" w:rsidSect="00E93137">
          <w:headerReference w:type="default" r:id="rId11"/>
          <w:footerReference w:type="default" r:id="rId12"/>
          <w:type w:val="continuous"/>
          <w:pgSz w:w="11906" w:h="16838" w:code="9"/>
          <w:pgMar w:top="1247" w:right="851" w:bottom="1134" w:left="851" w:header="567" w:footer="510" w:gutter="0"/>
          <w:cols w:space="340"/>
          <w:titlePg/>
          <w:docGrid w:linePitch="360"/>
        </w:sectPr>
      </w:pPr>
      <w:r>
        <w:fldChar w:fldCharType="end"/>
      </w:r>
    </w:p>
    <w:p w:rsidR="00E30DF5" w:rsidRPr="00C62D27" w:rsidRDefault="00E30DF5" w:rsidP="00C62D27">
      <w:pPr>
        <w:pStyle w:val="Heading1"/>
      </w:pPr>
      <w:bookmarkStart w:id="0" w:name="_Toc452648948"/>
      <w:bookmarkStart w:id="1" w:name="_Toc507593705"/>
      <w:r w:rsidRPr="00C62D27">
        <w:t>When do these operational guidelines apply?</w:t>
      </w:r>
      <w:bookmarkEnd w:id="0"/>
      <w:bookmarkEnd w:id="1"/>
    </w:p>
    <w:p w:rsidR="00E30DF5" w:rsidRDefault="00E30DF5" w:rsidP="00B17DBD">
      <w:pPr>
        <w:pStyle w:val="DHHSbody"/>
      </w:pPr>
      <w:r>
        <w:t>These</w:t>
      </w:r>
      <w:r w:rsidR="00121278">
        <w:t xml:space="preserve"> operational</w:t>
      </w:r>
      <w:r>
        <w:t xml:space="preserve"> guidelines should be followed </w:t>
      </w:r>
      <w:r w:rsidR="00121278" w:rsidRPr="00A677D9">
        <w:t xml:space="preserve">by </w:t>
      </w:r>
      <w:r w:rsidR="00DA4BBF">
        <w:t xml:space="preserve">designated service providers and social housing organisations </w:t>
      </w:r>
      <w:r>
        <w:t>when making decision</w:t>
      </w:r>
      <w:r w:rsidR="00121278">
        <w:t xml:space="preserve">s related to </w:t>
      </w:r>
      <w:r>
        <w:t>the Victorian Housing Register</w:t>
      </w:r>
      <w:r w:rsidR="00DD2672">
        <w:t xml:space="preserve"> (the register)</w:t>
      </w:r>
      <w:r w:rsidR="00293595">
        <w:t xml:space="preserve"> to:</w:t>
      </w:r>
    </w:p>
    <w:p w:rsidR="00961B32" w:rsidRDefault="00121278" w:rsidP="00B17DBD">
      <w:pPr>
        <w:pStyle w:val="DHHSbullet1"/>
      </w:pPr>
      <w:r>
        <w:t>recommend or not recommend an application for approval</w:t>
      </w:r>
    </w:p>
    <w:p w:rsidR="00961B32" w:rsidRDefault="00121278" w:rsidP="00B17DBD">
      <w:pPr>
        <w:pStyle w:val="DHHSbullet1"/>
      </w:pPr>
      <w:r>
        <w:t>approv</w:t>
      </w:r>
      <w:r w:rsidR="00293595">
        <w:t>e</w:t>
      </w:r>
      <w:r>
        <w:t xml:space="preserve"> o</w:t>
      </w:r>
      <w:r w:rsidR="005963BB">
        <w:t>r not approv</w:t>
      </w:r>
      <w:r w:rsidR="00293595">
        <w:t>e</w:t>
      </w:r>
      <w:r w:rsidR="005963BB">
        <w:t xml:space="preserve"> an application</w:t>
      </w:r>
    </w:p>
    <w:p w:rsidR="00961B32" w:rsidRDefault="00121278" w:rsidP="00B17DBD">
      <w:pPr>
        <w:pStyle w:val="DHHSbullet1"/>
      </w:pPr>
      <w:r>
        <w:t>remov</w:t>
      </w:r>
      <w:r w:rsidR="00293595">
        <w:t>e</w:t>
      </w:r>
      <w:r>
        <w:t xml:space="preserve"> an appli</w:t>
      </w:r>
      <w:r w:rsidR="00E47E19">
        <w:t>cation from the register</w:t>
      </w:r>
    </w:p>
    <w:p w:rsidR="00293595" w:rsidRDefault="00121278" w:rsidP="00D46911">
      <w:pPr>
        <w:pStyle w:val="DHHSbullet1lastline"/>
      </w:pPr>
      <w:r>
        <w:t>determi</w:t>
      </w:r>
      <w:r w:rsidR="00293595">
        <w:t>ne</w:t>
      </w:r>
      <w:r>
        <w:t xml:space="preserve"> if an offer is a reasonable offer</w:t>
      </w:r>
      <w:r w:rsidR="003B5ACA">
        <w:t>.</w:t>
      </w:r>
    </w:p>
    <w:p w:rsidR="00E30DF5" w:rsidRDefault="00121278" w:rsidP="00B17DBD">
      <w:pPr>
        <w:pStyle w:val="DHHSbody"/>
      </w:pPr>
      <w:r>
        <w:t xml:space="preserve">These </w:t>
      </w:r>
      <w:r w:rsidR="00E30DF5">
        <w:t xml:space="preserve">guidelines form part of a set of guidelines that together form the </w:t>
      </w:r>
      <w:r w:rsidR="00961B32">
        <w:t>E</w:t>
      </w:r>
      <w:r w:rsidR="00E30DF5">
        <w:t xml:space="preserve">ligibility </w:t>
      </w:r>
      <w:r w:rsidR="00961B32">
        <w:t>P</w:t>
      </w:r>
      <w:r w:rsidR="00E30DF5">
        <w:t>olicy</w:t>
      </w:r>
      <w:r w:rsidR="00961B32">
        <w:t xml:space="preserve"> Framework</w:t>
      </w:r>
      <w:r w:rsidR="00E30DF5">
        <w:t>.</w:t>
      </w:r>
    </w:p>
    <w:p w:rsidR="00293595" w:rsidRDefault="00293595" w:rsidP="00B17DBD">
      <w:pPr>
        <w:pStyle w:val="DHHSbody"/>
      </w:pPr>
      <w:r>
        <w:t xml:space="preserve">These operational guidelines do not apply to decisions in relation to the allocation or </w:t>
      </w:r>
      <w:r w:rsidR="00201E85">
        <w:t>tenancy</w:t>
      </w:r>
      <w:r>
        <w:t xml:space="preserve"> management of social housing.</w:t>
      </w:r>
      <w:r w:rsidR="00342225">
        <w:t xml:space="preserve"> Refer to the </w:t>
      </w:r>
      <w:r w:rsidR="00BB033A">
        <w:t xml:space="preserve">Public Housing Allocations Operational Guidelines, </w:t>
      </w:r>
      <w:r w:rsidR="00342225">
        <w:t>Community Housing Allocations Framework</w:t>
      </w:r>
      <w:r w:rsidR="000B7C50">
        <w:t>,</w:t>
      </w:r>
      <w:r w:rsidR="00342225">
        <w:t xml:space="preserve"> and the relevant organisation’s </w:t>
      </w:r>
      <w:r w:rsidR="000B7C50">
        <w:t xml:space="preserve">tenancy management </w:t>
      </w:r>
      <w:r w:rsidR="00342225">
        <w:t>policie</w:t>
      </w:r>
      <w:r w:rsidR="000B7C50">
        <w:t>s for further information.</w:t>
      </w:r>
    </w:p>
    <w:p w:rsidR="00E30DF5" w:rsidRDefault="00E30DF5" w:rsidP="00E30DF5">
      <w:pPr>
        <w:pStyle w:val="Heading1"/>
        <w:jc w:val="both"/>
      </w:pPr>
      <w:bookmarkStart w:id="2" w:name="_Toc448485112"/>
      <w:bookmarkStart w:id="3" w:name="_Toc451181468"/>
      <w:bookmarkStart w:id="4" w:name="_Toc452648949"/>
      <w:bookmarkStart w:id="5" w:name="_Toc507593706"/>
      <w:r>
        <w:t>Purpose statement</w:t>
      </w:r>
      <w:bookmarkEnd w:id="2"/>
      <w:bookmarkEnd w:id="3"/>
      <w:bookmarkEnd w:id="4"/>
      <w:bookmarkEnd w:id="5"/>
    </w:p>
    <w:p w:rsidR="00121278" w:rsidRPr="001F4D13" w:rsidRDefault="00121278" w:rsidP="00B17DBD">
      <w:pPr>
        <w:pStyle w:val="DHHSbody"/>
      </w:pPr>
      <w:r w:rsidRPr="00DA2E64">
        <w:t>Th</w:t>
      </w:r>
      <w:r>
        <w:t xml:space="preserve">ese operational guidelines aim to ensure that </w:t>
      </w:r>
      <w:r w:rsidR="00293595">
        <w:t>participating</w:t>
      </w:r>
      <w:r>
        <w:t xml:space="preserve"> organisations </w:t>
      </w:r>
      <w:r w:rsidR="00D866F5">
        <w:t>provide</w:t>
      </w:r>
      <w:r w:rsidRPr="00DA2E64">
        <w:t xml:space="preserve"> </w:t>
      </w:r>
      <w:r w:rsidR="00D866F5">
        <w:t xml:space="preserve">a </w:t>
      </w:r>
      <w:r w:rsidRPr="00DA2E64">
        <w:t>fair and consistent</w:t>
      </w:r>
      <w:r w:rsidR="00D866F5">
        <w:t>,</w:t>
      </w:r>
      <w:r w:rsidRPr="00DA2E64">
        <w:t xml:space="preserve"> </w:t>
      </w:r>
      <w:r w:rsidR="00D866F5">
        <w:t xml:space="preserve">client focused </w:t>
      </w:r>
      <w:r>
        <w:t>decision making process for</w:t>
      </w:r>
      <w:r w:rsidRPr="00DA2E64">
        <w:t xml:space="preserve"> all </w:t>
      </w:r>
      <w:r>
        <w:t xml:space="preserve">applicants to the </w:t>
      </w:r>
      <w:r w:rsidR="00961B32">
        <w:t>r</w:t>
      </w:r>
      <w:r>
        <w:t>egister</w:t>
      </w:r>
      <w:r w:rsidRPr="00DA2E64">
        <w:t>.</w:t>
      </w:r>
    </w:p>
    <w:p w:rsidR="00E30DF5" w:rsidRDefault="00E30DF5" w:rsidP="00B17DBD">
      <w:pPr>
        <w:pStyle w:val="DHHSbody"/>
      </w:pPr>
      <w:r>
        <w:t xml:space="preserve">The </w:t>
      </w:r>
      <w:r w:rsidR="00961B32">
        <w:t>r</w:t>
      </w:r>
      <w:r>
        <w:t xml:space="preserve">egister is a partnership between the </w:t>
      </w:r>
      <w:r w:rsidR="00FD56BE">
        <w:t>D</w:t>
      </w:r>
      <w:r>
        <w:t>epartment</w:t>
      </w:r>
      <w:r w:rsidR="00293595">
        <w:t xml:space="preserve"> </w:t>
      </w:r>
      <w:r w:rsidR="00FD56BE">
        <w:t xml:space="preserve">of Health and Human Services </w:t>
      </w:r>
      <w:r>
        <w:t xml:space="preserve">and </w:t>
      </w:r>
      <w:r w:rsidR="00293595">
        <w:t xml:space="preserve">participating </w:t>
      </w:r>
      <w:r w:rsidR="000A241B">
        <w:t>registered</w:t>
      </w:r>
      <w:r w:rsidR="00293595">
        <w:t xml:space="preserve"> agencies</w:t>
      </w:r>
      <w:r>
        <w:t xml:space="preserve">. Further to this, </w:t>
      </w:r>
      <w:r w:rsidR="00293595">
        <w:t xml:space="preserve">designated </w:t>
      </w:r>
      <w:r w:rsidR="00FD56BE">
        <w:t xml:space="preserve">service </w:t>
      </w:r>
      <w:r>
        <w:t xml:space="preserve">providers are also involved in making recommendations to the </w:t>
      </w:r>
      <w:r w:rsidR="00961B32">
        <w:t>r</w:t>
      </w:r>
      <w:r>
        <w:t>egister.</w:t>
      </w:r>
    </w:p>
    <w:p w:rsidR="00E30DF5" w:rsidRPr="00A06C23" w:rsidRDefault="00E30DF5" w:rsidP="00B17DBD">
      <w:pPr>
        <w:pStyle w:val="DHHSbody"/>
      </w:pPr>
      <w:r>
        <w:t xml:space="preserve">These guidelines are overarching and not intended to replace processes within </w:t>
      </w:r>
      <w:r w:rsidR="000A241B">
        <w:t xml:space="preserve">participating </w:t>
      </w:r>
      <w:r>
        <w:t>organisations</w:t>
      </w:r>
      <w:r w:rsidR="009819A3">
        <w:t>.</w:t>
      </w:r>
      <w:r>
        <w:t xml:space="preserve"> </w:t>
      </w:r>
      <w:r w:rsidR="009819A3">
        <w:t>T</w:t>
      </w:r>
      <w:r>
        <w:t xml:space="preserve">heir purpose is to provide guiding principles about making </w:t>
      </w:r>
      <w:r w:rsidR="00293595">
        <w:t xml:space="preserve">relevant </w:t>
      </w:r>
      <w:r>
        <w:t>decisions.</w:t>
      </w:r>
    </w:p>
    <w:p w:rsidR="00E30DF5" w:rsidRDefault="00E30DF5" w:rsidP="00B17DBD">
      <w:pPr>
        <w:pStyle w:val="DHHSbody"/>
      </w:pPr>
      <w:r>
        <w:t>These guidelines recognise the significant impact that</w:t>
      </w:r>
      <w:r w:rsidR="00293595">
        <w:t xml:space="preserve"> relevant </w:t>
      </w:r>
      <w:r>
        <w:t xml:space="preserve">decisions </w:t>
      </w:r>
      <w:r w:rsidR="00293595">
        <w:t>may</w:t>
      </w:r>
      <w:r>
        <w:t xml:space="preserve"> </w:t>
      </w:r>
      <w:r w:rsidR="00111E44">
        <w:t xml:space="preserve">have </w:t>
      </w:r>
      <w:r>
        <w:t xml:space="preserve">on </w:t>
      </w:r>
      <w:r w:rsidR="00F97EEC">
        <w:t xml:space="preserve">households and </w:t>
      </w:r>
      <w:r>
        <w:t>a person’s ability to access social housing.</w:t>
      </w:r>
    </w:p>
    <w:p w:rsidR="00E30DF5" w:rsidRDefault="00E30DF5" w:rsidP="00B17DBD">
      <w:pPr>
        <w:pStyle w:val="DHHSbody"/>
      </w:pPr>
      <w:r>
        <w:t xml:space="preserve">The intent of these guidelines </w:t>
      </w:r>
      <w:r w:rsidR="000A241B">
        <w:t>is</w:t>
      </w:r>
      <w:r w:rsidR="00111E44">
        <w:t xml:space="preserve"> </w:t>
      </w:r>
      <w:r>
        <w:t>to support staff to appropriately make decisions and exercise discretion</w:t>
      </w:r>
      <w:r w:rsidR="00F86C93">
        <w:t>,</w:t>
      </w:r>
      <w:r>
        <w:t xml:space="preserve"> taking into account all relevant considerations, including the individual circumstances of a case.</w:t>
      </w:r>
      <w:r w:rsidR="00111E44">
        <w:t xml:space="preserve"> They must be applied subject to any relevant legal requirements in a given case.</w:t>
      </w:r>
    </w:p>
    <w:p w:rsidR="00E30DF5" w:rsidRDefault="00E30DF5" w:rsidP="00E30DF5">
      <w:pPr>
        <w:pStyle w:val="Heading1"/>
      </w:pPr>
      <w:bookmarkStart w:id="6" w:name="_Toc452648950"/>
      <w:bookmarkStart w:id="7" w:name="_Toc507593707"/>
      <w:r>
        <w:t>Making decisions</w:t>
      </w:r>
      <w:bookmarkEnd w:id="6"/>
      <w:bookmarkEnd w:id="7"/>
    </w:p>
    <w:p w:rsidR="00E30DF5" w:rsidRDefault="00E30DF5" w:rsidP="00E30DF5">
      <w:pPr>
        <w:pStyle w:val="DHHSbody"/>
      </w:pPr>
      <w:r>
        <w:t xml:space="preserve">All staff making </w:t>
      </w:r>
      <w:r w:rsidR="00293595">
        <w:t xml:space="preserve">relevant </w:t>
      </w:r>
      <w:r>
        <w:t xml:space="preserve">decisions </w:t>
      </w:r>
      <w:r w:rsidR="00D866F5">
        <w:t>must</w:t>
      </w:r>
      <w:r>
        <w:t xml:space="preserve"> act fairly in decision making. A </w:t>
      </w:r>
      <w:r w:rsidR="00D866F5">
        <w:t>client focused</w:t>
      </w:r>
      <w:r>
        <w:t xml:space="preserve"> decision will have reasons that explain and justify it. When making a decision the following are useful guiding questions:</w:t>
      </w:r>
    </w:p>
    <w:p w:rsidR="00E30DF5" w:rsidRDefault="00E30DF5" w:rsidP="00E30DF5">
      <w:pPr>
        <w:pStyle w:val="DHHSbullet1"/>
        <w:numPr>
          <w:ilvl w:val="0"/>
          <w:numId w:val="1"/>
        </w:numPr>
      </w:pPr>
      <w:r>
        <w:t>Are you authorised to make the decision?</w:t>
      </w:r>
    </w:p>
    <w:p w:rsidR="00E30DF5" w:rsidRDefault="00625F2B" w:rsidP="00E30DF5">
      <w:pPr>
        <w:pStyle w:val="DHHSbullet1"/>
        <w:numPr>
          <w:ilvl w:val="0"/>
          <w:numId w:val="1"/>
        </w:numPr>
      </w:pPr>
      <w:r>
        <w:t>Have you gathered and recorded all the relevant information</w:t>
      </w:r>
      <w:r w:rsidR="00E30DF5">
        <w:t>?</w:t>
      </w:r>
    </w:p>
    <w:p w:rsidR="00E30DF5" w:rsidRDefault="00E30DF5" w:rsidP="00E30DF5">
      <w:pPr>
        <w:pStyle w:val="DHHSbullet1"/>
        <w:numPr>
          <w:ilvl w:val="0"/>
          <w:numId w:val="1"/>
        </w:numPr>
      </w:pPr>
      <w:r>
        <w:t>Have you considered all the information available on relevant matters?</w:t>
      </w:r>
    </w:p>
    <w:p w:rsidR="00E30DF5" w:rsidRDefault="00E30DF5" w:rsidP="00E30DF5">
      <w:pPr>
        <w:pStyle w:val="DHHSbullet1"/>
        <w:numPr>
          <w:ilvl w:val="0"/>
          <w:numId w:val="1"/>
        </w:numPr>
      </w:pPr>
      <w:r>
        <w:t>Have you only relied on relevant matters?</w:t>
      </w:r>
    </w:p>
    <w:p w:rsidR="00820B79" w:rsidRDefault="00820B79" w:rsidP="00820B79">
      <w:pPr>
        <w:pStyle w:val="DHHSbullet1"/>
        <w:numPr>
          <w:ilvl w:val="0"/>
          <w:numId w:val="1"/>
        </w:numPr>
      </w:pPr>
      <w:r>
        <w:t>Where relevant</w:t>
      </w:r>
      <w:r w:rsidR="00F97EEC">
        <w:t>,</w:t>
      </w:r>
      <w:r>
        <w:t xml:space="preserve"> have you given the affected person an opportunity to be heard?</w:t>
      </w:r>
    </w:p>
    <w:p w:rsidR="00E30DF5" w:rsidRDefault="00E30DF5" w:rsidP="00E30DF5">
      <w:pPr>
        <w:pStyle w:val="DHHSbullet1"/>
        <w:numPr>
          <w:ilvl w:val="0"/>
          <w:numId w:val="1"/>
        </w:numPr>
      </w:pPr>
      <w:r>
        <w:t>What evidence is your decision based on?</w:t>
      </w:r>
    </w:p>
    <w:p w:rsidR="00E30DF5" w:rsidRDefault="00E30DF5" w:rsidP="00E30DF5">
      <w:pPr>
        <w:pStyle w:val="DHHSbullet1"/>
        <w:numPr>
          <w:ilvl w:val="0"/>
          <w:numId w:val="1"/>
        </w:numPr>
      </w:pPr>
      <w:r>
        <w:t>Have you acted fairly?</w:t>
      </w:r>
    </w:p>
    <w:p w:rsidR="00E30DF5" w:rsidRDefault="00E30DF5" w:rsidP="00E30DF5">
      <w:pPr>
        <w:pStyle w:val="DHHSbullet1"/>
        <w:numPr>
          <w:ilvl w:val="0"/>
          <w:numId w:val="1"/>
        </w:numPr>
      </w:pPr>
      <w:r>
        <w:t>Have you considered the relevant policies?</w:t>
      </w:r>
    </w:p>
    <w:p w:rsidR="00625F2B" w:rsidRDefault="00E30DF5" w:rsidP="00625F2B">
      <w:pPr>
        <w:pStyle w:val="DHHSbullet1"/>
      </w:pPr>
      <w:r>
        <w:t>Have you recorded your reasons</w:t>
      </w:r>
      <w:r w:rsidR="00625F2B">
        <w:t>?</w:t>
      </w:r>
    </w:p>
    <w:p w:rsidR="00E30DF5" w:rsidRDefault="00625F2B" w:rsidP="00D46911">
      <w:pPr>
        <w:pStyle w:val="DHHSbullet1lastline"/>
      </w:pPr>
      <w:r w:rsidRPr="00D46911">
        <w:t>Have</w:t>
      </w:r>
      <w:r>
        <w:t xml:space="preserve"> you</w:t>
      </w:r>
      <w:r w:rsidR="00E30DF5">
        <w:t xml:space="preserve"> fully informed the person affected?</w:t>
      </w:r>
    </w:p>
    <w:p w:rsidR="00E30DF5" w:rsidRDefault="00E30DF5" w:rsidP="00E30DF5">
      <w:pPr>
        <w:pStyle w:val="Heading2"/>
      </w:pPr>
      <w:bookmarkStart w:id="8" w:name="_Toc452648951"/>
      <w:bookmarkStart w:id="9" w:name="_Toc507593708"/>
      <w:r>
        <w:t>Guiding principles</w:t>
      </w:r>
      <w:bookmarkEnd w:id="8"/>
      <w:bookmarkEnd w:id="9"/>
    </w:p>
    <w:p w:rsidR="00E30DF5" w:rsidRDefault="00E66F5B" w:rsidP="00E30DF5">
      <w:pPr>
        <w:pStyle w:val="DHHSbody"/>
      </w:pPr>
      <w:r>
        <w:t>The</w:t>
      </w:r>
      <w:r w:rsidR="00E47E19">
        <w:t xml:space="preserve"> </w:t>
      </w:r>
      <w:r w:rsidR="00293595">
        <w:t>decision-maker</w:t>
      </w:r>
      <w:r w:rsidR="00E30DF5">
        <w:t xml:space="preserve"> should </w:t>
      </w:r>
      <w:r w:rsidR="00293595">
        <w:t xml:space="preserve">take into account </w:t>
      </w:r>
      <w:r w:rsidR="00E30DF5">
        <w:t>the following guiding principles:</w:t>
      </w:r>
    </w:p>
    <w:p w:rsidR="00E30DF5" w:rsidRDefault="00E30DF5" w:rsidP="00E30DF5">
      <w:pPr>
        <w:pStyle w:val="DHHSbullet1"/>
        <w:numPr>
          <w:ilvl w:val="0"/>
          <w:numId w:val="1"/>
        </w:numPr>
      </w:pPr>
      <w:r w:rsidRPr="003D3B1E">
        <w:t>the decision making process should be fair and transparent</w:t>
      </w:r>
    </w:p>
    <w:p w:rsidR="00E30DF5" w:rsidRDefault="00E30DF5" w:rsidP="00E30DF5">
      <w:pPr>
        <w:pStyle w:val="DHHSbullet1"/>
        <w:numPr>
          <w:ilvl w:val="0"/>
          <w:numId w:val="1"/>
        </w:numPr>
      </w:pPr>
      <w:r>
        <w:t>applicants</w:t>
      </w:r>
      <w:r w:rsidRPr="003D3B1E">
        <w:t xml:space="preserve"> </w:t>
      </w:r>
      <w:r>
        <w:t>should</w:t>
      </w:r>
      <w:r w:rsidRPr="003D3B1E">
        <w:t xml:space="preserve"> be par</w:t>
      </w:r>
      <w:r>
        <w:t>t of the decision making process</w:t>
      </w:r>
      <w:r w:rsidR="00B15CBD">
        <w:t xml:space="preserve"> where practicable</w:t>
      </w:r>
    </w:p>
    <w:p w:rsidR="00F90D78" w:rsidRDefault="00E30DF5" w:rsidP="00D46911">
      <w:pPr>
        <w:pStyle w:val="DHHSbullet1lastline"/>
      </w:pPr>
      <w:r>
        <w:t>decisions should take into account all relevant considerations, including the individual circumstances of a case</w:t>
      </w:r>
      <w:r w:rsidR="00C9336E">
        <w:t>.</w:t>
      </w:r>
    </w:p>
    <w:p w:rsidR="00E30DF5" w:rsidRPr="00D71A84" w:rsidRDefault="00E30DF5" w:rsidP="00D866F5">
      <w:pPr>
        <w:pStyle w:val="Heading3"/>
        <w:rPr>
          <w:color w:val="0F243E"/>
        </w:rPr>
      </w:pPr>
      <w:bookmarkStart w:id="10" w:name="_Toc451181469"/>
      <w:bookmarkStart w:id="11" w:name="_Toc452648952"/>
      <w:r w:rsidRPr="00D71A84">
        <w:rPr>
          <w:color w:val="0F243E"/>
        </w:rPr>
        <w:t>Human rights considerations</w:t>
      </w:r>
      <w:bookmarkEnd w:id="10"/>
      <w:bookmarkEnd w:id="11"/>
    </w:p>
    <w:p w:rsidR="00C9336E" w:rsidRDefault="00C9336E" w:rsidP="00D46911">
      <w:pPr>
        <w:pStyle w:val="DHHSbody"/>
      </w:pPr>
      <w:r w:rsidRPr="0030609A">
        <w:t xml:space="preserve">In deciding what action to take, staff must give proper consideration to the relevant human rights in accordance with the </w:t>
      </w:r>
      <w:r w:rsidRPr="0030609A">
        <w:rPr>
          <w:i/>
        </w:rPr>
        <w:t>Charter of Human Rights and Responsibilities Act 2006</w:t>
      </w:r>
      <w:r>
        <w:t xml:space="preserve"> s38(1) (the Charter).</w:t>
      </w:r>
    </w:p>
    <w:p w:rsidR="00C9336E" w:rsidRPr="00C9336E" w:rsidRDefault="00C9336E" w:rsidP="00D46911">
      <w:pPr>
        <w:pStyle w:val="DHHSbody"/>
      </w:pPr>
      <w:r w:rsidRPr="0030609A">
        <w:t>This</w:t>
      </w:r>
      <w:r>
        <w:t xml:space="preserve"> consideration</w:t>
      </w:r>
      <w:r w:rsidRPr="0030609A">
        <w:t xml:space="preserve"> should include the potential impact the proposed action they are undertaking through these operational guidelines may have on </w:t>
      </w:r>
      <w:r>
        <w:t>the person’s</w:t>
      </w:r>
      <w:r w:rsidRPr="0030609A">
        <w:t xml:space="preserve"> (and </w:t>
      </w:r>
      <w:r>
        <w:t>their</w:t>
      </w:r>
      <w:r w:rsidRPr="0030609A">
        <w:t xml:space="preserve"> household’s) rights under the Charter</w:t>
      </w:r>
      <w:r w:rsidRPr="0030609A">
        <w:rPr>
          <w:i/>
        </w:rPr>
        <w:t>.</w:t>
      </w:r>
    </w:p>
    <w:p w:rsidR="00E30DF5" w:rsidRDefault="00E30DF5" w:rsidP="00D46911">
      <w:pPr>
        <w:pStyle w:val="DHHSbody"/>
        <w:rPr>
          <w:lang w:eastAsia="en-AU"/>
        </w:rPr>
      </w:pPr>
      <w:r>
        <w:rPr>
          <w:lang w:eastAsia="en-AU"/>
        </w:rPr>
        <w:t>Any person taking action in line with these operational guidelines must:</w:t>
      </w:r>
    </w:p>
    <w:p w:rsidR="00D740ED" w:rsidRDefault="00D740ED" w:rsidP="00D740ED">
      <w:pPr>
        <w:pStyle w:val="DHHSbullet1"/>
        <w:numPr>
          <w:ilvl w:val="0"/>
          <w:numId w:val="1"/>
        </w:numPr>
      </w:pPr>
      <w:r>
        <w:t>understand the objective and rationale of the actions they are taking or the decisions they are making</w:t>
      </w:r>
    </w:p>
    <w:p w:rsidR="00F36FC5" w:rsidRDefault="00F36FC5" w:rsidP="00E30DF5">
      <w:pPr>
        <w:pStyle w:val="DHHSbullet1"/>
        <w:numPr>
          <w:ilvl w:val="0"/>
          <w:numId w:val="1"/>
        </w:numPr>
      </w:pPr>
      <w:r>
        <w:t>understand in general terms which of the rights of the person affected by the decision may be re</w:t>
      </w:r>
      <w:r w:rsidR="00E93BFE">
        <w:t>levant and where, and if so, how</w:t>
      </w:r>
      <w:r>
        <w:t xml:space="preserve"> those rights will be interfered with by the decision that is made</w:t>
      </w:r>
    </w:p>
    <w:p w:rsidR="001D7A6A" w:rsidRDefault="001D7A6A" w:rsidP="001D7A6A">
      <w:pPr>
        <w:pStyle w:val="DHHSbullet1"/>
        <w:numPr>
          <w:ilvl w:val="0"/>
          <w:numId w:val="1"/>
        </w:numPr>
      </w:pPr>
      <w:r>
        <w:t>identify the countervailing interests or obligations</w:t>
      </w:r>
    </w:p>
    <w:p w:rsidR="00E30DF5" w:rsidRDefault="00F267D6" w:rsidP="00E30DF5">
      <w:pPr>
        <w:pStyle w:val="DHHSbullet1"/>
        <w:numPr>
          <w:ilvl w:val="0"/>
          <w:numId w:val="1"/>
        </w:numPr>
      </w:pPr>
      <w:r>
        <w:t xml:space="preserve">have evidence that </w:t>
      </w:r>
      <w:r w:rsidR="00E30DF5">
        <w:t>consider</w:t>
      </w:r>
      <w:r>
        <w:t>ation</w:t>
      </w:r>
      <w:r w:rsidR="00E27CF5">
        <w:t xml:space="preserve"> has been given to </w:t>
      </w:r>
      <w:r w:rsidR="00E30DF5">
        <w:t xml:space="preserve">the impact </w:t>
      </w:r>
      <w:r w:rsidR="00BB3CEB">
        <w:t xml:space="preserve">of </w:t>
      </w:r>
      <w:r w:rsidR="00E27CF5">
        <w:t>the</w:t>
      </w:r>
      <w:r w:rsidR="00E30DF5">
        <w:t xml:space="preserve"> proposed action </w:t>
      </w:r>
      <w:r w:rsidR="0037681D">
        <w:t xml:space="preserve">or proposed decision </w:t>
      </w:r>
      <w:r w:rsidR="00E30DF5">
        <w:t xml:space="preserve">on the person’s </w:t>
      </w:r>
      <w:r w:rsidR="002B1D4F">
        <w:t>Charter</w:t>
      </w:r>
      <w:r>
        <w:t xml:space="preserve"> </w:t>
      </w:r>
      <w:r w:rsidR="00E30DF5">
        <w:t>rights</w:t>
      </w:r>
    </w:p>
    <w:p w:rsidR="00E30DF5" w:rsidRDefault="00E30DF5" w:rsidP="00E30DF5">
      <w:pPr>
        <w:pStyle w:val="DHHSbullet1"/>
        <w:numPr>
          <w:ilvl w:val="0"/>
          <w:numId w:val="1"/>
        </w:numPr>
      </w:pPr>
      <w:r>
        <w:t xml:space="preserve">consider whether </w:t>
      </w:r>
      <w:r w:rsidR="0037681D">
        <w:t xml:space="preserve">any limitation to Charter rights is reasonable, </w:t>
      </w:r>
      <w:r>
        <w:t>balanced</w:t>
      </w:r>
      <w:r w:rsidR="0037681D">
        <w:t xml:space="preserve">, </w:t>
      </w:r>
      <w:r>
        <w:t>proportionate and necessar</w:t>
      </w:r>
      <w:r w:rsidR="0096700C">
        <w:t xml:space="preserve">y to achieve </w:t>
      </w:r>
      <w:r w:rsidR="0037681D">
        <w:t xml:space="preserve">the </w:t>
      </w:r>
      <w:r w:rsidR="0096700C">
        <w:t>objective</w:t>
      </w:r>
    </w:p>
    <w:p w:rsidR="00E30DF5" w:rsidRDefault="00E30DF5" w:rsidP="00D46911">
      <w:pPr>
        <w:pStyle w:val="DHHSbullet1"/>
        <w:rPr>
          <w:lang w:eastAsia="en-AU"/>
        </w:rPr>
      </w:pPr>
      <w:r>
        <w:t xml:space="preserve">choose </w:t>
      </w:r>
      <w:r w:rsidR="00E527FC">
        <w:t xml:space="preserve">any </w:t>
      </w:r>
      <w:r>
        <w:t>least restrictive measure available</w:t>
      </w:r>
      <w:r w:rsidR="0037681D">
        <w:t xml:space="preserve"> which </w:t>
      </w:r>
      <w:r w:rsidR="00E527FC">
        <w:t xml:space="preserve">still </w:t>
      </w:r>
      <w:r w:rsidR="00C9336E">
        <w:t>meets the objective</w:t>
      </w:r>
    </w:p>
    <w:p w:rsidR="001D7A6A" w:rsidRPr="00582710" w:rsidRDefault="001D7A6A" w:rsidP="00C62D27">
      <w:pPr>
        <w:pStyle w:val="DHHSbullet1lastline"/>
        <w:rPr>
          <w:lang w:eastAsia="en-AU"/>
        </w:rPr>
      </w:pPr>
      <w:r>
        <w:t>balance competing private and public interests</w:t>
      </w:r>
      <w:r w:rsidR="00664077">
        <w:t>,</w:t>
      </w:r>
      <w:r w:rsidR="00664077" w:rsidRPr="00664077">
        <w:t xml:space="preserve"> </w:t>
      </w:r>
      <w:r w:rsidR="00664077">
        <w:t>in particular in what information is published about the register, and the relative housing needs of people on the register.</w:t>
      </w:r>
    </w:p>
    <w:p w:rsidR="00D866F5" w:rsidRDefault="00D866F5" w:rsidP="00D866F5">
      <w:pPr>
        <w:pStyle w:val="Heading2"/>
      </w:pPr>
      <w:bookmarkStart w:id="12" w:name="_Toc507593709"/>
      <w:bookmarkStart w:id="13" w:name="_Toc452648953"/>
      <w:r>
        <w:t>Documenting decisions</w:t>
      </w:r>
      <w:bookmarkEnd w:id="12"/>
    </w:p>
    <w:p w:rsidR="0096700C" w:rsidRDefault="0096700C" w:rsidP="00D866F5">
      <w:pPr>
        <w:pStyle w:val="DHHSbody"/>
      </w:pPr>
      <w:r>
        <w:t xml:space="preserve">Documenting decisions is critical to making client focused decisions as it ensures transparency and accountability for all decisions made. Each </w:t>
      </w:r>
      <w:r w:rsidR="00227975">
        <w:t>participating</w:t>
      </w:r>
      <w:r>
        <w:t xml:space="preserve"> organisation must have a record keeping process in place where decisions about the register are documented.</w:t>
      </w:r>
    </w:p>
    <w:p w:rsidR="00D866F5" w:rsidRDefault="00D866F5" w:rsidP="00D866F5">
      <w:pPr>
        <w:pStyle w:val="DHHSbody"/>
      </w:pPr>
      <w:r>
        <w:t xml:space="preserve">When recording the </w:t>
      </w:r>
      <w:r w:rsidR="00227975">
        <w:t xml:space="preserve">relevant </w:t>
      </w:r>
      <w:r>
        <w:t>decision the person making that decision should record:</w:t>
      </w:r>
    </w:p>
    <w:p w:rsidR="00D866F5" w:rsidRDefault="00D866F5" w:rsidP="00D866F5">
      <w:pPr>
        <w:pStyle w:val="DHHSbullet1"/>
        <w:numPr>
          <w:ilvl w:val="0"/>
          <w:numId w:val="1"/>
        </w:numPr>
      </w:pPr>
      <w:r>
        <w:t>their name</w:t>
      </w:r>
    </w:p>
    <w:p w:rsidR="00D866F5" w:rsidRDefault="00D866F5" w:rsidP="00D866F5">
      <w:pPr>
        <w:pStyle w:val="DHHSbullet1"/>
        <w:numPr>
          <w:ilvl w:val="0"/>
          <w:numId w:val="1"/>
        </w:numPr>
      </w:pPr>
      <w:r>
        <w:t>the person the decision was about</w:t>
      </w:r>
    </w:p>
    <w:p w:rsidR="00D866F5" w:rsidRDefault="00D866F5" w:rsidP="00D866F5">
      <w:pPr>
        <w:pStyle w:val="DHHSbullet1"/>
        <w:numPr>
          <w:ilvl w:val="0"/>
          <w:numId w:val="1"/>
        </w:numPr>
      </w:pPr>
      <w:r>
        <w:t>the date the decision was made</w:t>
      </w:r>
    </w:p>
    <w:p w:rsidR="00D866F5" w:rsidRDefault="00D866F5" w:rsidP="00D866F5">
      <w:pPr>
        <w:pStyle w:val="DHHSbullet1"/>
        <w:numPr>
          <w:ilvl w:val="0"/>
          <w:numId w:val="1"/>
        </w:numPr>
      </w:pPr>
      <w:r>
        <w:t>the reasons for making the decision</w:t>
      </w:r>
    </w:p>
    <w:p w:rsidR="00D866F5" w:rsidRDefault="00D866F5" w:rsidP="00D866F5">
      <w:pPr>
        <w:pStyle w:val="DHHSbullet1"/>
        <w:numPr>
          <w:ilvl w:val="0"/>
          <w:numId w:val="1"/>
        </w:numPr>
      </w:pPr>
      <w:r>
        <w:t>the evidence you relied on</w:t>
      </w:r>
    </w:p>
    <w:p w:rsidR="00D866F5" w:rsidRDefault="00D866F5" w:rsidP="00D866F5">
      <w:pPr>
        <w:pStyle w:val="DHHSbullet1lastline"/>
        <w:numPr>
          <w:ilvl w:val="1"/>
          <w:numId w:val="1"/>
        </w:numPr>
      </w:pPr>
      <w:r>
        <w:t>findings on material facts</w:t>
      </w:r>
      <w:r w:rsidR="00F80BA2">
        <w:t>.</w:t>
      </w:r>
    </w:p>
    <w:p w:rsidR="00D866F5" w:rsidRDefault="00D866F5" w:rsidP="00D866F5">
      <w:pPr>
        <w:pStyle w:val="DHHSbody"/>
      </w:pPr>
      <w:r>
        <w:t xml:space="preserve">In addition </w:t>
      </w:r>
      <w:r w:rsidRPr="00644367">
        <w:t xml:space="preserve">the </w:t>
      </w:r>
      <w:r w:rsidR="00227975">
        <w:t>applicant</w:t>
      </w:r>
      <w:r w:rsidRPr="00644367">
        <w:t xml:space="preserve"> </w:t>
      </w:r>
      <w:r>
        <w:t xml:space="preserve">should be informed of </w:t>
      </w:r>
      <w:r w:rsidRPr="00644367">
        <w:t xml:space="preserve">what </w:t>
      </w:r>
      <w:r>
        <w:t>the</w:t>
      </w:r>
      <w:r w:rsidRPr="00644367">
        <w:t xml:space="preserve"> decision is and advised </w:t>
      </w:r>
      <w:r>
        <w:t>o</w:t>
      </w:r>
      <w:r w:rsidRPr="00644367">
        <w:t>f any right</w:t>
      </w:r>
      <w:r>
        <w:t>s they have to apply for a review. It should also be checked if there is</w:t>
      </w:r>
      <w:r w:rsidRPr="00644367">
        <w:t xml:space="preserve"> anyone else </w:t>
      </w:r>
      <w:r>
        <w:t>who is required to be informed about the</w:t>
      </w:r>
      <w:r w:rsidRPr="00644367">
        <w:t xml:space="preserve"> decision</w:t>
      </w:r>
      <w:r>
        <w:t>.</w:t>
      </w:r>
    </w:p>
    <w:p w:rsidR="00E30DF5" w:rsidRDefault="00E30DF5" w:rsidP="00E30DF5">
      <w:pPr>
        <w:pStyle w:val="Heading1"/>
      </w:pPr>
      <w:bookmarkStart w:id="14" w:name="_Toc507593710"/>
      <w:r>
        <w:t>Seeking a review of a decision</w:t>
      </w:r>
      <w:bookmarkEnd w:id="13"/>
      <w:bookmarkEnd w:id="14"/>
    </w:p>
    <w:p w:rsidR="005138D6" w:rsidRDefault="006D2DEE" w:rsidP="00E30DF5">
      <w:pPr>
        <w:pStyle w:val="DHHSbody"/>
      </w:pPr>
      <w:r>
        <w:t xml:space="preserve">Applicants </w:t>
      </w:r>
      <w:r w:rsidR="005138D6">
        <w:t xml:space="preserve">have the right to request a review of a </w:t>
      </w:r>
      <w:r w:rsidR="005138D6" w:rsidRPr="00FD0746">
        <w:t xml:space="preserve">decision made about </w:t>
      </w:r>
      <w:r w:rsidR="005138D6">
        <w:t>their</w:t>
      </w:r>
      <w:r w:rsidR="005138D6" w:rsidRPr="00FD0746">
        <w:t xml:space="preserve"> application </w:t>
      </w:r>
      <w:r w:rsidR="005138D6">
        <w:t>or to lodge a complaint if they are not happy with a service</w:t>
      </w:r>
      <w:r w:rsidR="005138D6" w:rsidRPr="00FD0746">
        <w:t>.</w:t>
      </w:r>
    </w:p>
    <w:p w:rsidR="00E66F5B" w:rsidRDefault="00E66F5B" w:rsidP="00E30DF5">
      <w:pPr>
        <w:pStyle w:val="DHHSbody"/>
      </w:pPr>
      <w:r>
        <w:t>The ability to seek a review or appeal of a relevant decision is one method of ensuring that the eligibility policy fra</w:t>
      </w:r>
      <w:r w:rsidR="00403918">
        <w:t>mework is applied consistently and equitably.</w:t>
      </w:r>
    </w:p>
    <w:p w:rsidR="00E30DF5" w:rsidRDefault="00E30DF5" w:rsidP="00E30DF5">
      <w:pPr>
        <w:pStyle w:val="Heading2"/>
      </w:pPr>
      <w:bookmarkStart w:id="15" w:name="_Toc452648954"/>
      <w:bookmarkStart w:id="16" w:name="_Toc507593711"/>
      <w:r>
        <w:t>Guiding principles</w:t>
      </w:r>
      <w:bookmarkEnd w:id="15"/>
      <w:bookmarkEnd w:id="16"/>
      <w:r>
        <w:t xml:space="preserve"> </w:t>
      </w:r>
    </w:p>
    <w:p w:rsidR="00823D08" w:rsidRDefault="00E30DF5" w:rsidP="00E30DF5">
      <w:pPr>
        <w:pStyle w:val="DHHSbody"/>
      </w:pPr>
      <w:r>
        <w:t xml:space="preserve">An effective </w:t>
      </w:r>
      <w:r w:rsidR="006572C8">
        <w:t>review</w:t>
      </w:r>
      <w:r>
        <w:t xml:space="preserve"> system must be modelled on the principles of fairness, accessibility, responsiveness, efficiency and integration. </w:t>
      </w:r>
    </w:p>
    <w:p w:rsidR="00E30DF5" w:rsidRDefault="00E30DF5" w:rsidP="00E30DF5">
      <w:pPr>
        <w:pStyle w:val="DHHSbody"/>
      </w:pPr>
      <w:r>
        <w:t>An approach to</w:t>
      </w:r>
      <w:r w:rsidR="00B15CBD">
        <w:t xml:space="preserve"> a</w:t>
      </w:r>
      <w:r>
        <w:t xml:space="preserve"> </w:t>
      </w:r>
      <w:r w:rsidR="006572C8">
        <w:t>review</w:t>
      </w:r>
      <w:r>
        <w:t xml:space="preserve"> </w:t>
      </w:r>
      <w:r w:rsidR="00B15CBD">
        <w:t>process</w:t>
      </w:r>
      <w:r>
        <w:t xml:space="preserve"> supports:</w:t>
      </w:r>
    </w:p>
    <w:p w:rsidR="00E30DF5" w:rsidRDefault="00E30DF5" w:rsidP="00E30DF5">
      <w:pPr>
        <w:pStyle w:val="DHHSbullet1"/>
        <w:numPr>
          <w:ilvl w:val="0"/>
          <w:numId w:val="1"/>
        </w:numPr>
      </w:pPr>
      <w:r>
        <w:t>people understanding th</w:t>
      </w:r>
      <w:r w:rsidR="00A03DBA">
        <w:t>eir rights and responsibilities</w:t>
      </w:r>
    </w:p>
    <w:p w:rsidR="00E30DF5" w:rsidRDefault="00E30DF5" w:rsidP="00E30DF5">
      <w:pPr>
        <w:pStyle w:val="DHHSbullet1"/>
        <w:numPr>
          <w:ilvl w:val="0"/>
          <w:numId w:val="1"/>
        </w:numPr>
      </w:pPr>
      <w:r>
        <w:t xml:space="preserve">information on the </w:t>
      </w:r>
      <w:r w:rsidR="006572C8">
        <w:t>review</w:t>
      </w:r>
      <w:r>
        <w:t xml:space="preserve"> process being easily accessible</w:t>
      </w:r>
    </w:p>
    <w:p w:rsidR="00E30DF5" w:rsidRDefault="00E30DF5" w:rsidP="00E30DF5">
      <w:pPr>
        <w:pStyle w:val="DHHSbullet1"/>
        <w:numPr>
          <w:ilvl w:val="0"/>
          <w:numId w:val="1"/>
        </w:numPr>
      </w:pPr>
      <w:r>
        <w:t xml:space="preserve">increased satisfaction of clients in the management of their </w:t>
      </w:r>
      <w:r w:rsidR="006572C8">
        <w:t>review</w:t>
      </w:r>
    </w:p>
    <w:p w:rsidR="00E30DF5" w:rsidRDefault="00E30DF5" w:rsidP="00E30DF5">
      <w:pPr>
        <w:pStyle w:val="DHHSbullet1"/>
        <w:numPr>
          <w:ilvl w:val="0"/>
          <w:numId w:val="1"/>
        </w:numPr>
      </w:pPr>
      <w:r>
        <w:t>the recording of data to identify emerging and existing trends or systemic issues</w:t>
      </w:r>
    </w:p>
    <w:p w:rsidR="00E30DF5" w:rsidRDefault="00E30DF5" w:rsidP="00E30DF5">
      <w:pPr>
        <w:pStyle w:val="DHHSbullet1"/>
        <w:numPr>
          <w:ilvl w:val="0"/>
          <w:numId w:val="1"/>
        </w:numPr>
      </w:pPr>
      <w:r>
        <w:t xml:space="preserve">staff to demonstrate an awareness of </w:t>
      </w:r>
      <w:r w:rsidR="006572C8">
        <w:t>the review</w:t>
      </w:r>
      <w:r>
        <w:t xml:space="preserve"> processes</w:t>
      </w:r>
    </w:p>
    <w:p w:rsidR="00E30DF5" w:rsidRDefault="00E30DF5" w:rsidP="00E30DF5">
      <w:pPr>
        <w:pStyle w:val="DHHSbullet1"/>
        <w:numPr>
          <w:ilvl w:val="0"/>
          <w:numId w:val="1"/>
        </w:numPr>
      </w:pPr>
      <w:r>
        <w:t xml:space="preserve">staff to develop the range of skills and capabilities required to manage </w:t>
      </w:r>
      <w:r w:rsidR="006572C8">
        <w:t>reviews</w:t>
      </w:r>
    </w:p>
    <w:p w:rsidR="00E30DF5" w:rsidRDefault="00E30DF5" w:rsidP="000A6780">
      <w:pPr>
        <w:pStyle w:val="DHHSbullet1lastline"/>
      </w:pPr>
      <w:r>
        <w:t>an organisational culture that is focused on effective, person-centred complaints resolution and utilising feedback for continuous improvement.</w:t>
      </w:r>
    </w:p>
    <w:p w:rsidR="009028C2" w:rsidRPr="00C23CAE" w:rsidRDefault="00227EBE" w:rsidP="00C62D27">
      <w:pPr>
        <w:pStyle w:val="DHHSbody"/>
        <w:spacing w:after="240"/>
      </w:pPr>
      <w:r>
        <w:t xml:space="preserve">Refer to the </w:t>
      </w:r>
      <w:hyperlink r:id="rId13" w:history="1">
        <w:r w:rsidR="000A6780" w:rsidRPr="000A6780">
          <w:rPr>
            <w:rStyle w:val="Hyperlink"/>
            <w:i/>
          </w:rPr>
          <w:t>Complaints, appeals and feedback processes</w:t>
        </w:r>
        <w:r w:rsidR="000A6780" w:rsidRPr="000A6780">
          <w:rPr>
            <w:rStyle w:val="Hyperlink"/>
          </w:rPr>
          <w:t xml:space="preserve"> operational guidelines</w:t>
        </w:r>
      </w:hyperlink>
      <w:r w:rsidR="000A6780">
        <w:t xml:space="preserve"> </w:t>
      </w:r>
      <w:r w:rsidR="000A6780" w:rsidRPr="000A6780">
        <w:t>https://fac.dhhs.vic.gov.au/complaints-appeals-and-feedback-processes</w:t>
      </w:r>
      <w:r w:rsidR="000A6780">
        <w:t xml:space="preserve"> </w:t>
      </w:r>
      <w:r>
        <w:t>for</w:t>
      </w:r>
      <w:r w:rsidR="009028C2">
        <w:t xml:space="preserve"> more information about how a decision may be reviewed or appealed.</w:t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E709A1" w:rsidRPr="00762B03" w:rsidTr="00C70154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19" w:rsidRPr="000A6780" w:rsidRDefault="00E47E19" w:rsidP="00E47E19">
            <w:pPr>
              <w:pStyle w:val="DHHSaccessibilitypara"/>
              <w:rPr>
                <w:rFonts w:cs="Arial"/>
                <w:szCs w:val="24"/>
              </w:rPr>
            </w:pPr>
            <w:r w:rsidRPr="000A6780">
              <w:rPr>
                <w:rFonts w:cs="Arial"/>
                <w:szCs w:val="24"/>
              </w:rPr>
              <w:t xml:space="preserve">To receive this publication in an accessible format </w:t>
            </w:r>
            <w:hyperlink r:id="rId14" w:history="1">
              <w:r w:rsidRPr="000A6780">
                <w:rPr>
                  <w:rStyle w:val="Hyperlink"/>
                  <w:rFonts w:cs="Arial"/>
                  <w:szCs w:val="24"/>
                </w:rPr>
                <w:t>email the Victorian Housing Register</w:t>
              </w:r>
            </w:hyperlink>
            <w:r w:rsidRPr="000A6780">
              <w:rPr>
                <w:rFonts w:cs="Arial"/>
                <w:szCs w:val="24"/>
              </w:rPr>
              <w:t xml:space="preserve"> &lt;VictorianHousingRegister@dhhs.vic.gov.au&gt;.</w:t>
            </w:r>
          </w:p>
          <w:p w:rsidR="00E47E19" w:rsidRPr="000A6780" w:rsidRDefault="00E47E19" w:rsidP="000A6780">
            <w:pPr>
              <w:pStyle w:val="DHHSbody"/>
            </w:pPr>
            <w:r w:rsidRPr="000A6780">
              <w:t>Authorised and published by the Victorian Government, 1 Treasury Place, Melbourne.</w:t>
            </w:r>
          </w:p>
          <w:p w:rsidR="00E47E19" w:rsidRPr="000A6780" w:rsidRDefault="00E47E19" w:rsidP="000A6780">
            <w:pPr>
              <w:pStyle w:val="DHHSbody"/>
            </w:pPr>
            <w:r w:rsidRPr="000A6780">
              <w:t xml:space="preserve">© State of Victoria, Department of Health and Human Services, </w:t>
            </w:r>
            <w:r w:rsidR="0046110B">
              <w:t>March</w:t>
            </w:r>
            <w:r w:rsidRPr="000A6780">
              <w:t xml:space="preserve"> 2018.</w:t>
            </w:r>
          </w:p>
          <w:p w:rsidR="00E47E19" w:rsidRPr="000A6780" w:rsidRDefault="00E47E19" w:rsidP="000A6780">
            <w:pPr>
              <w:pStyle w:val="DHHSbody"/>
            </w:pPr>
            <w:r w:rsidRPr="000A6780">
              <w:t>ISBN</w:t>
            </w:r>
            <w:r w:rsidRPr="000A6780">
              <w:rPr>
                <w:lang w:eastAsia="en-AU"/>
              </w:rPr>
              <w:t xml:space="preserve"> </w:t>
            </w:r>
            <w:r w:rsidRPr="000A6780">
              <w:t xml:space="preserve">978-1-76069-250-6 </w:t>
            </w:r>
            <w:r w:rsidRPr="000A6780">
              <w:rPr>
                <w:lang w:eastAsia="en-AU"/>
              </w:rPr>
              <w:t>(online)</w:t>
            </w:r>
          </w:p>
          <w:p w:rsidR="00E709A1" w:rsidRPr="00762B03" w:rsidRDefault="00E47E19" w:rsidP="00E47E19">
            <w:pPr>
              <w:spacing w:after="120" w:line="270" w:lineRule="atLeast"/>
              <w:rPr>
                <w:rFonts w:ascii="Arial" w:hAnsi="Arial"/>
              </w:rPr>
            </w:pPr>
            <w:r w:rsidRPr="000A6780">
              <w:rPr>
                <w:rFonts w:ascii="Arial" w:eastAsia="Times" w:hAnsi="Arial" w:cs="Arial"/>
              </w:rPr>
              <w:t xml:space="preserve">Available on the </w:t>
            </w:r>
            <w:hyperlink r:id="rId15" w:history="1">
              <w:r w:rsidRPr="000A6780">
                <w:rPr>
                  <w:rStyle w:val="Hyperlink"/>
                  <w:rFonts w:ascii="Arial" w:eastAsia="Times" w:hAnsi="Arial" w:cs="Arial"/>
                  <w:sz w:val="24"/>
                  <w:szCs w:val="24"/>
                </w:rPr>
                <w:t>Victorian Housing Register</w:t>
              </w:r>
            </w:hyperlink>
            <w:r w:rsidRPr="000A6780">
              <w:rPr>
                <w:rFonts w:ascii="Arial" w:eastAsia="Times" w:hAnsi="Arial" w:cs="Arial"/>
              </w:rPr>
              <w:t xml:space="preserve"> website &lt;https://fac.dhhs.vic.gov.au/victorian-housing-register&gt;.</w:t>
            </w:r>
          </w:p>
        </w:tc>
      </w:tr>
    </w:tbl>
    <w:p w:rsidR="00B2752E" w:rsidRPr="00906490" w:rsidRDefault="00B2752E" w:rsidP="000A6780">
      <w:pPr>
        <w:pStyle w:val="DHHSbody"/>
      </w:pPr>
    </w:p>
    <w:sectPr w:rsidR="00B2752E" w:rsidRPr="00906490" w:rsidSect="00E93137">
      <w:type w:val="continuous"/>
      <w:pgSz w:w="11906" w:h="16838" w:code="9"/>
      <w:pgMar w:top="1247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91" w:rsidRDefault="00D36D91">
      <w:r>
        <w:separator/>
      </w:r>
    </w:p>
  </w:endnote>
  <w:endnote w:type="continuationSeparator" w:id="0">
    <w:p w:rsidR="00D36D91" w:rsidRDefault="00D3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80" w:rsidRPr="00F65AA9" w:rsidRDefault="000A678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1" allowOverlap="1" wp14:anchorId="17B37609" wp14:editId="5AC3ED37">
          <wp:simplePos x="0" y="0"/>
          <wp:positionH relativeFrom="page">
            <wp:posOffset>0</wp:posOffset>
          </wp:positionH>
          <wp:positionV relativeFrom="page">
            <wp:posOffset>10297160</wp:posOffset>
          </wp:positionV>
          <wp:extent cx="7561580" cy="398780"/>
          <wp:effectExtent l="0" t="0" r="1270" b="1270"/>
          <wp:wrapNone/>
          <wp:docPr id="3" name="Picture 15" descr="A Panertnership between the Victorian Government and Community Housing Organis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80" w:rsidRDefault="000A6780" w:rsidP="0051568D">
    <w:pPr>
      <w:pStyle w:val="DHHSfooter"/>
    </w:pPr>
    <w:r>
      <w:t>Victorian Housing Register: Making Client Focused Decisions Operational Guidelines</w:t>
    </w:r>
  </w:p>
  <w:p w:rsidR="000A6780" w:rsidRPr="00A11421" w:rsidRDefault="000A6780" w:rsidP="0051568D">
    <w:pPr>
      <w:pStyle w:val="DHHSfooter"/>
    </w:pP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4731A0">
      <w:rPr>
        <w:noProof/>
      </w:rPr>
      <w:t>3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91" w:rsidRDefault="00D36D91" w:rsidP="002862F1">
      <w:pPr>
        <w:spacing w:before="120"/>
      </w:pPr>
      <w:r>
        <w:separator/>
      </w:r>
    </w:p>
  </w:footnote>
  <w:footnote w:type="continuationSeparator" w:id="0">
    <w:p w:rsidR="00D36D91" w:rsidRDefault="00D3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80" w:rsidRPr="0051568D" w:rsidRDefault="000A6780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EE59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>
    <w:nsid w:val="0B8D43DB"/>
    <w:multiLevelType w:val="multilevel"/>
    <w:tmpl w:val="4B4E7622"/>
    <w:numStyleLink w:val="ZZNumbers"/>
  </w:abstractNum>
  <w:abstractNum w:abstractNumId="4">
    <w:nsid w:val="33324A74"/>
    <w:multiLevelType w:val="hybridMultilevel"/>
    <w:tmpl w:val="F42CDC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7E7C2C31"/>
    <w:multiLevelType w:val="hybridMultilevel"/>
    <w:tmpl w:val="F42CDC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F5"/>
    <w:rsid w:val="0000005E"/>
    <w:rsid w:val="00003703"/>
    <w:rsid w:val="00004AC3"/>
    <w:rsid w:val="000072B6"/>
    <w:rsid w:val="0001021B"/>
    <w:rsid w:val="00011D89"/>
    <w:rsid w:val="00020978"/>
    <w:rsid w:val="00022C25"/>
    <w:rsid w:val="00024D89"/>
    <w:rsid w:val="000250B6"/>
    <w:rsid w:val="00033D81"/>
    <w:rsid w:val="00035FBC"/>
    <w:rsid w:val="0003789F"/>
    <w:rsid w:val="00041BF0"/>
    <w:rsid w:val="00043755"/>
    <w:rsid w:val="00044F90"/>
    <w:rsid w:val="0004536B"/>
    <w:rsid w:val="000466E8"/>
    <w:rsid w:val="00046B68"/>
    <w:rsid w:val="000527DD"/>
    <w:rsid w:val="00053473"/>
    <w:rsid w:val="000578B2"/>
    <w:rsid w:val="00060959"/>
    <w:rsid w:val="000663CD"/>
    <w:rsid w:val="000733FE"/>
    <w:rsid w:val="00074219"/>
    <w:rsid w:val="00074ED5"/>
    <w:rsid w:val="00087482"/>
    <w:rsid w:val="00090FEF"/>
    <w:rsid w:val="0009113B"/>
    <w:rsid w:val="00093778"/>
    <w:rsid w:val="00094DA3"/>
    <w:rsid w:val="00096CD1"/>
    <w:rsid w:val="000A012C"/>
    <w:rsid w:val="000A0EB9"/>
    <w:rsid w:val="000A186C"/>
    <w:rsid w:val="000A241B"/>
    <w:rsid w:val="000A6780"/>
    <w:rsid w:val="000B23FD"/>
    <w:rsid w:val="000B543D"/>
    <w:rsid w:val="000B5BF7"/>
    <w:rsid w:val="000B6BC8"/>
    <w:rsid w:val="000B7C50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06E59"/>
    <w:rsid w:val="00111E44"/>
    <w:rsid w:val="00120BD3"/>
    <w:rsid w:val="00121278"/>
    <w:rsid w:val="00122FEA"/>
    <w:rsid w:val="001232BD"/>
    <w:rsid w:val="001234D9"/>
    <w:rsid w:val="00124ED5"/>
    <w:rsid w:val="001447B3"/>
    <w:rsid w:val="00152073"/>
    <w:rsid w:val="00161939"/>
    <w:rsid w:val="00161AA0"/>
    <w:rsid w:val="00162093"/>
    <w:rsid w:val="001748D7"/>
    <w:rsid w:val="001771DD"/>
    <w:rsid w:val="00177995"/>
    <w:rsid w:val="00177A8C"/>
    <w:rsid w:val="001842EE"/>
    <w:rsid w:val="00186B33"/>
    <w:rsid w:val="00192F9D"/>
    <w:rsid w:val="001943AA"/>
    <w:rsid w:val="00194883"/>
    <w:rsid w:val="00196EB8"/>
    <w:rsid w:val="001979FF"/>
    <w:rsid w:val="00197B17"/>
    <w:rsid w:val="001A3ACE"/>
    <w:rsid w:val="001B5047"/>
    <w:rsid w:val="001C277E"/>
    <w:rsid w:val="001C2A72"/>
    <w:rsid w:val="001D0A03"/>
    <w:rsid w:val="001D0B75"/>
    <w:rsid w:val="001D3C09"/>
    <w:rsid w:val="001D44E8"/>
    <w:rsid w:val="001D60EC"/>
    <w:rsid w:val="001D7A6A"/>
    <w:rsid w:val="001E44DF"/>
    <w:rsid w:val="001E68A5"/>
    <w:rsid w:val="001E6BB0"/>
    <w:rsid w:val="001F3826"/>
    <w:rsid w:val="001F55F1"/>
    <w:rsid w:val="001F567E"/>
    <w:rsid w:val="001F6E46"/>
    <w:rsid w:val="001F7C91"/>
    <w:rsid w:val="00201E85"/>
    <w:rsid w:val="00202061"/>
    <w:rsid w:val="00206463"/>
    <w:rsid w:val="0020696D"/>
    <w:rsid w:val="00206F2F"/>
    <w:rsid w:val="00206F68"/>
    <w:rsid w:val="0021053D"/>
    <w:rsid w:val="00210A92"/>
    <w:rsid w:val="00216C03"/>
    <w:rsid w:val="00220C04"/>
    <w:rsid w:val="0022278D"/>
    <w:rsid w:val="0022701F"/>
    <w:rsid w:val="00227975"/>
    <w:rsid w:val="00227EBE"/>
    <w:rsid w:val="00230AC6"/>
    <w:rsid w:val="002333F5"/>
    <w:rsid w:val="00233724"/>
    <w:rsid w:val="00235155"/>
    <w:rsid w:val="002432E1"/>
    <w:rsid w:val="00246207"/>
    <w:rsid w:val="002463F5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48E4"/>
    <w:rsid w:val="002763B3"/>
    <w:rsid w:val="002769ED"/>
    <w:rsid w:val="002802E3"/>
    <w:rsid w:val="0028213D"/>
    <w:rsid w:val="00285C67"/>
    <w:rsid w:val="002862F1"/>
    <w:rsid w:val="00291373"/>
    <w:rsid w:val="00293595"/>
    <w:rsid w:val="0029597D"/>
    <w:rsid w:val="002962C3"/>
    <w:rsid w:val="0029752B"/>
    <w:rsid w:val="002A483C"/>
    <w:rsid w:val="002B1729"/>
    <w:rsid w:val="002B1D4F"/>
    <w:rsid w:val="002B4DD4"/>
    <w:rsid w:val="002B5277"/>
    <w:rsid w:val="002B5375"/>
    <w:rsid w:val="002B77C1"/>
    <w:rsid w:val="002B7E25"/>
    <w:rsid w:val="002C2728"/>
    <w:rsid w:val="002D5006"/>
    <w:rsid w:val="002D6EA1"/>
    <w:rsid w:val="002E01D0"/>
    <w:rsid w:val="002E161D"/>
    <w:rsid w:val="002E3100"/>
    <w:rsid w:val="002E684B"/>
    <w:rsid w:val="002E6C95"/>
    <w:rsid w:val="002E7702"/>
    <w:rsid w:val="002E7C36"/>
    <w:rsid w:val="002F10FE"/>
    <w:rsid w:val="002F5F31"/>
    <w:rsid w:val="002F5F46"/>
    <w:rsid w:val="00302216"/>
    <w:rsid w:val="00303E53"/>
    <w:rsid w:val="00306E5F"/>
    <w:rsid w:val="00307E14"/>
    <w:rsid w:val="00314054"/>
    <w:rsid w:val="00316F27"/>
    <w:rsid w:val="00320745"/>
    <w:rsid w:val="00327593"/>
    <w:rsid w:val="00327870"/>
    <w:rsid w:val="0033259D"/>
    <w:rsid w:val="003406C6"/>
    <w:rsid w:val="003418CC"/>
    <w:rsid w:val="00342225"/>
    <w:rsid w:val="003459BD"/>
    <w:rsid w:val="00350D38"/>
    <w:rsid w:val="00351B36"/>
    <w:rsid w:val="00357B4E"/>
    <w:rsid w:val="003627C7"/>
    <w:rsid w:val="00367434"/>
    <w:rsid w:val="003744CF"/>
    <w:rsid w:val="00374717"/>
    <w:rsid w:val="0037676C"/>
    <w:rsid w:val="0037681D"/>
    <w:rsid w:val="003823CF"/>
    <w:rsid w:val="003829E5"/>
    <w:rsid w:val="003956CC"/>
    <w:rsid w:val="00395C9A"/>
    <w:rsid w:val="003A6B67"/>
    <w:rsid w:val="003B15E6"/>
    <w:rsid w:val="003B5ACA"/>
    <w:rsid w:val="003C2045"/>
    <w:rsid w:val="003C43A1"/>
    <w:rsid w:val="003C4FC0"/>
    <w:rsid w:val="003C55F4"/>
    <w:rsid w:val="003C7A3F"/>
    <w:rsid w:val="003D2766"/>
    <w:rsid w:val="003D34C9"/>
    <w:rsid w:val="003D3E8F"/>
    <w:rsid w:val="003D6475"/>
    <w:rsid w:val="003F0445"/>
    <w:rsid w:val="003F0CF0"/>
    <w:rsid w:val="003F14B1"/>
    <w:rsid w:val="003F3289"/>
    <w:rsid w:val="003F5445"/>
    <w:rsid w:val="00401FCF"/>
    <w:rsid w:val="00402C54"/>
    <w:rsid w:val="00403918"/>
    <w:rsid w:val="00406285"/>
    <w:rsid w:val="004148F9"/>
    <w:rsid w:val="00415A35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2E7"/>
    <w:rsid w:val="00457337"/>
    <w:rsid w:val="0046110B"/>
    <w:rsid w:val="004670CC"/>
    <w:rsid w:val="004731A0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1AC7"/>
    <w:rsid w:val="004C09D6"/>
    <w:rsid w:val="004C3BD2"/>
    <w:rsid w:val="004C6255"/>
    <w:rsid w:val="004C6EEE"/>
    <w:rsid w:val="004C702B"/>
    <w:rsid w:val="004D016B"/>
    <w:rsid w:val="004D1B22"/>
    <w:rsid w:val="004D36F2"/>
    <w:rsid w:val="004D399B"/>
    <w:rsid w:val="004E138F"/>
    <w:rsid w:val="004E4649"/>
    <w:rsid w:val="004E56FA"/>
    <w:rsid w:val="004E5C2B"/>
    <w:rsid w:val="004F00DD"/>
    <w:rsid w:val="004F2133"/>
    <w:rsid w:val="004F55F1"/>
    <w:rsid w:val="004F673A"/>
    <w:rsid w:val="004F6936"/>
    <w:rsid w:val="005003A1"/>
    <w:rsid w:val="00501559"/>
    <w:rsid w:val="00503400"/>
    <w:rsid w:val="00503DC6"/>
    <w:rsid w:val="00505C9E"/>
    <w:rsid w:val="00506F5D"/>
    <w:rsid w:val="005126D0"/>
    <w:rsid w:val="005138D6"/>
    <w:rsid w:val="00513BE8"/>
    <w:rsid w:val="0051568D"/>
    <w:rsid w:val="00526C15"/>
    <w:rsid w:val="00530149"/>
    <w:rsid w:val="00533933"/>
    <w:rsid w:val="00536499"/>
    <w:rsid w:val="00543903"/>
    <w:rsid w:val="00543F11"/>
    <w:rsid w:val="0054582F"/>
    <w:rsid w:val="00547A95"/>
    <w:rsid w:val="00553C74"/>
    <w:rsid w:val="005671FD"/>
    <w:rsid w:val="00572031"/>
    <w:rsid w:val="005735F4"/>
    <w:rsid w:val="00576E84"/>
    <w:rsid w:val="00576EE1"/>
    <w:rsid w:val="00582B8C"/>
    <w:rsid w:val="0058757E"/>
    <w:rsid w:val="00592278"/>
    <w:rsid w:val="005963BB"/>
    <w:rsid w:val="00596A4B"/>
    <w:rsid w:val="00597507"/>
    <w:rsid w:val="005A4021"/>
    <w:rsid w:val="005A6B34"/>
    <w:rsid w:val="005B21B6"/>
    <w:rsid w:val="005B3A08"/>
    <w:rsid w:val="005B7A63"/>
    <w:rsid w:val="005C0955"/>
    <w:rsid w:val="005C49DA"/>
    <w:rsid w:val="005C50F3"/>
    <w:rsid w:val="005C5D91"/>
    <w:rsid w:val="005D07B8"/>
    <w:rsid w:val="005D4FCE"/>
    <w:rsid w:val="005D6597"/>
    <w:rsid w:val="005E143A"/>
    <w:rsid w:val="005E14E7"/>
    <w:rsid w:val="005E26A3"/>
    <w:rsid w:val="005E447E"/>
    <w:rsid w:val="005F011C"/>
    <w:rsid w:val="005F0775"/>
    <w:rsid w:val="005F0BDC"/>
    <w:rsid w:val="005F0CF5"/>
    <w:rsid w:val="005F21EB"/>
    <w:rsid w:val="005F32A5"/>
    <w:rsid w:val="005F4D99"/>
    <w:rsid w:val="00605908"/>
    <w:rsid w:val="00610D7C"/>
    <w:rsid w:val="00611A8C"/>
    <w:rsid w:val="00613414"/>
    <w:rsid w:val="0062408D"/>
    <w:rsid w:val="006240CC"/>
    <w:rsid w:val="00625F2B"/>
    <w:rsid w:val="00627DA7"/>
    <w:rsid w:val="00634551"/>
    <w:rsid w:val="006358B4"/>
    <w:rsid w:val="006419AA"/>
    <w:rsid w:val="00644B7E"/>
    <w:rsid w:val="006454E6"/>
    <w:rsid w:val="00646A68"/>
    <w:rsid w:val="0065092E"/>
    <w:rsid w:val="006557A7"/>
    <w:rsid w:val="00656290"/>
    <w:rsid w:val="006572C8"/>
    <w:rsid w:val="006621D7"/>
    <w:rsid w:val="0066302A"/>
    <w:rsid w:val="00664077"/>
    <w:rsid w:val="00667691"/>
    <w:rsid w:val="00670597"/>
    <w:rsid w:val="006706D0"/>
    <w:rsid w:val="00677574"/>
    <w:rsid w:val="0068454C"/>
    <w:rsid w:val="00691B62"/>
    <w:rsid w:val="00693D14"/>
    <w:rsid w:val="00696CFC"/>
    <w:rsid w:val="006A18C2"/>
    <w:rsid w:val="006A5C23"/>
    <w:rsid w:val="006B077C"/>
    <w:rsid w:val="006B6803"/>
    <w:rsid w:val="006D2A3F"/>
    <w:rsid w:val="006D2DEE"/>
    <w:rsid w:val="006D2FBC"/>
    <w:rsid w:val="006D5B6F"/>
    <w:rsid w:val="006E138B"/>
    <w:rsid w:val="006E3BAB"/>
    <w:rsid w:val="006F1FDC"/>
    <w:rsid w:val="007013EF"/>
    <w:rsid w:val="007173CA"/>
    <w:rsid w:val="00721169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47695"/>
    <w:rsid w:val="00750135"/>
    <w:rsid w:val="00750EC2"/>
    <w:rsid w:val="00752B28"/>
    <w:rsid w:val="00754E36"/>
    <w:rsid w:val="007554F6"/>
    <w:rsid w:val="00763139"/>
    <w:rsid w:val="00766ADA"/>
    <w:rsid w:val="00770F37"/>
    <w:rsid w:val="007711A0"/>
    <w:rsid w:val="00772D5E"/>
    <w:rsid w:val="00776928"/>
    <w:rsid w:val="00785677"/>
    <w:rsid w:val="00786F16"/>
    <w:rsid w:val="007929B1"/>
    <w:rsid w:val="00796E20"/>
    <w:rsid w:val="00797C32"/>
    <w:rsid w:val="007A6B5D"/>
    <w:rsid w:val="007B0914"/>
    <w:rsid w:val="007B1374"/>
    <w:rsid w:val="007B491F"/>
    <w:rsid w:val="007B589F"/>
    <w:rsid w:val="007B6186"/>
    <w:rsid w:val="007B73BC"/>
    <w:rsid w:val="007C20B9"/>
    <w:rsid w:val="007C2BCE"/>
    <w:rsid w:val="007C7301"/>
    <w:rsid w:val="007C7859"/>
    <w:rsid w:val="007D2BDE"/>
    <w:rsid w:val="007D2FB6"/>
    <w:rsid w:val="007E0DE2"/>
    <w:rsid w:val="007E3B98"/>
    <w:rsid w:val="007E6EA0"/>
    <w:rsid w:val="007F31B6"/>
    <w:rsid w:val="007F546C"/>
    <w:rsid w:val="007F625F"/>
    <w:rsid w:val="007F665E"/>
    <w:rsid w:val="00800412"/>
    <w:rsid w:val="008019FD"/>
    <w:rsid w:val="0080371F"/>
    <w:rsid w:val="0080587B"/>
    <w:rsid w:val="008061A7"/>
    <w:rsid w:val="00806468"/>
    <w:rsid w:val="00811DF7"/>
    <w:rsid w:val="008155F0"/>
    <w:rsid w:val="00816735"/>
    <w:rsid w:val="00820141"/>
    <w:rsid w:val="00820550"/>
    <w:rsid w:val="00820B79"/>
    <w:rsid w:val="00820E0C"/>
    <w:rsid w:val="00822424"/>
    <w:rsid w:val="00823D08"/>
    <w:rsid w:val="008338A2"/>
    <w:rsid w:val="00835E8E"/>
    <w:rsid w:val="0083705E"/>
    <w:rsid w:val="00841AA9"/>
    <w:rsid w:val="00853EE4"/>
    <w:rsid w:val="00855535"/>
    <w:rsid w:val="00856F5A"/>
    <w:rsid w:val="0086255E"/>
    <w:rsid w:val="008633F0"/>
    <w:rsid w:val="00866EE9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2513"/>
    <w:rsid w:val="008A4CAA"/>
    <w:rsid w:val="008A5B32"/>
    <w:rsid w:val="008B2EE4"/>
    <w:rsid w:val="008B4D07"/>
    <w:rsid w:val="008B4D3D"/>
    <w:rsid w:val="008B57C7"/>
    <w:rsid w:val="008B643D"/>
    <w:rsid w:val="008C2F92"/>
    <w:rsid w:val="008D2846"/>
    <w:rsid w:val="008D2D39"/>
    <w:rsid w:val="008D4236"/>
    <w:rsid w:val="008D462F"/>
    <w:rsid w:val="008D5E03"/>
    <w:rsid w:val="008D6DCF"/>
    <w:rsid w:val="008E4376"/>
    <w:rsid w:val="008E7A0A"/>
    <w:rsid w:val="008F300C"/>
    <w:rsid w:val="00900719"/>
    <w:rsid w:val="009017AC"/>
    <w:rsid w:val="009028C2"/>
    <w:rsid w:val="00904A1C"/>
    <w:rsid w:val="00905030"/>
    <w:rsid w:val="00905384"/>
    <w:rsid w:val="00906490"/>
    <w:rsid w:val="009111B2"/>
    <w:rsid w:val="009171E4"/>
    <w:rsid w:val="00924412"/>
    <w:rsid w:val="00924AE1"/>
    <w:rsid w:val="009269B1"/>
    <w:rsid w:val="00926FF7"/>
    <w:rsid w:val="0092724D"/>
    <w:rsid w:val="009374F6"/>
    <w:rsid w:val="00937BD9"/>
    <w:rsid w:val="00950E2C"/>
    <w:rsid w:val="00951D50"/>
    <w:rsid w:val="009525EB"/>
    <w:rsid w:val="00954874"/>
    <w:rsid w:val="00961400"/>
    <w:rsid w:val="00961B32"/>
    <w:rsid w:val="00963646"/>
    <w:rsid w:val="00964165"/>
    <w:rsid w:val="0096700C"/>
    <w:rsid w:val="009803C8"/>
    <w:rsid w:val="009819A3"/>
    <w:rsid w:val="0098249A"/>
    <w:rsid w:val="009853E1"/>
    <w:rsid w:val="00986240"/>
    <w:rsid w:val="00986E6B"/>
    <w:rsid w:val="00991769"/>
    <w:rsid w:val="00994386"/>
    <w:rsid w:val="009A13D8"/>
    <w:rsid w:val="009A279E"/>
    <w:rsid w:val="009A67F9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1E1C"/>
    <w:rsid w:val="009F2F27"/>
    <w:rsid w:val="009F34AA"/>
    <w:rsid w:val="009F6BCB"/>
    <w:rsid w:val="009F7B78"/>
    <w:rsid w:val="00A0057A"/>
    <w:rsid w:val="00A02BD9"/>
    <w:rsid w:val="00A03DBA"/>
    <w:rsid w:val="00A11421"/>
    <w:rsid w:val="00A157B1"/>
    <w:rsid w:val="00A2085C"/>
    <w:rsid w:val="00A20E82"/>
    <w:rsid w:val="00A22229"/>
    <w:rsid w:val="00A44882"/>
    <w:rsid w:val="00A46EC4"/>
    <w:rsid w:val="00A53353"/>
    <w:rsid w:val="00A54715"/>
    <w:rsid w:val="00A6061C"/>
    <w:rsid w:val="00A62D44"/>
    <w:rsid w:val="00A65A88"/>
    <w:rsid w:val="00A67263"/>
    <w:rsid w:val="00A677D9"/>
    <w:rsid w:val="00A7161C"/>
    <w:rsid w:val="00A75A13"/>
    <w:rsid w:val="00A77AA3"/>
    <w:rsid w:val="00A854EB"/>
    <w:rsid w:val="00A872E5"/>
    <w:rsid w:val="00A905D3"/>
    <w:rsid w:val="00A91406"/>
    <w:rsid w:val="00A96E65"/>
    <w:rsid w:val="00A97C72"/>
    <w:rsid w:val="00AA63D4"/>
    <w:rsid w:val="00AB06E8"/>
    <w:rsid w:val="00AB1CD3"/>
    <w:rsid w:val="00AB352F"/>
    <w:rsid w:val="00AC274B"/>
    <w:rsid w:val="00AC28A4"/>
    <w:rsid w:val="00AC3325"/>
    <w:rsid w:val="00AC4764"/>
    <w:rsid w:val="00AC6D36"/>
    <w:rsid w:val="00AD0CBA"/>
    <w:rsid w:val="00AD1729"/>
    <w:rsid w:val="00AD26E2"/>
    <w:rsid w:val="00AD5AC3"/>
    <w:rsid w:val="00AD784C"/>
    <w:rsid w:val="00AE02D6"/>
    <w:rsid w:val="00AE126A"/>
    <w:rsid w:val="00AE3005"/>
    <w:rsid w:val="00AE3BD5"/>
    <w:rsid w:val="00AE59A0"/>
    <w:rsid w:val="00AE7471"/>
    <w:rsid w:val="00AF051D"/>
    <w:rsid w:val="00AF0C57"/>
    <w:rsid w:val="00AF26F3"/>
    <w:rsid w:val="00AF5F04"/>
    <w:rsid w:val="00B00672"/>
    <w:rsid w:val="00B01B4D"/>
    <w:rsid w:val="00B02699"/>
    <w:rsid w:val="00B06571"/>
    <w:rsid w:val="00B068BA"/>
    <w:rsid w:val="00B13851"/>
    <w:rsid w:val="00B13B1C"/>
    <w:rsid w:val="00B14D1B"/>
    <w:rsid w:val="00B15CBD"/>
    <w:rsid w:val="00B17DBD"/>
    <w:rsid w:val="00B22291"/>
    <w:rsid w:val="00B23F9A"/>
    <w:rsid w:val="00B2417B"/>
    <w:rsid w:val="00B24E6F"/>
    <w:rsid w:val="00B26CB5"/>
    <w:rsid w:val="00B2752E"/>
    <w:rsid w:val="00B27E92"/>
    <w:rsid w:val="00B307CC"/>
    <w:rsid w:val="00B326B7"/>
    <w:rsid w:val="00B431E8"/>
    <w:rsid w:val="00B45141"/>
    <w:rsid w:val="00B47641"/>
    <w:rsid w:val="00B5273A"/>
    <w:rsid w:val="00B62B50"/>
    <w:rsid w:val="00B635B7"/>
    <w:rsid w:val="00B63AE8"/>
    <w:rsid w:val="00B65950"/>
    <w:rsid w:val="00B66D83"/>
    <w:rsid w:val="00B672C0"/>
    <w:rsid w:val="00B75646"/>
    <w:rsid w:val="00B83EA3"/>
    <w:rsid w:val="00B90729"/>
    <w:rsid w:val="00B907DA"/>
    <w:rsid w:val="00B90C4A"/>
    <w:rsid w:val="00B94E5B"/>
    <w:rsid w:val="00B950BC"/>
    <w:rsid w:val="00B9714C"/>
    <w:rsid w:val="00BA3F8D"/>
    <w:rsid w:val="00BA7457"/>
    <w:rsid w:val="00BB033A"/>
    <w:rsid w:val="00BB3CEB"/>
    <w:rsid w:val="00BB7A10"/>
    <w:rsid w:val="00BC0F01"/>
    <w:rsid w:val="00BC7468"/>
    <w:rsid w:val="00BC7D4F"/>
    <w:rsid w:val="00BC7ED7"/>
    <w:rsid w:val="00BD05A6"/>
    <w:rsid w:val="00BD2850"/>
    <w:rsid w:val="00BE28D2"/>
    <w:rsid w:val="00BE4A64"/>
    <w:rsid w:val="00BE5224"/>
    <w:rsid w:val="00BE6328"/>
    <w:rsid w:val="00BF7F58"/>
    <w:rsid w:val="00C01381"/>
    <w:rsid w:val="00C079B8"/>
    <w:rsid w:val="00C10DA8"/>
    <w:rsid w:val="00C123EA"/>
    <w:rsid w:val="00C12A49"/>
    <w:rsid w:val="00C133EE"/>
    <w:rsid w:val="00C15A96"/>
    <w:rsid w:val="00C20340"/>
    <w:rsid w:val="00C23CAE"/>
    <w:rsid w:val="00C27DE9"/>
    <w:rsid w:val="00C33388"/>
    <w:rsid w:val="00C35484"/>
    <w:rsid w:val="00C4173A"/>
    <w:rsid w:val="00C602FF"/>
    <w:rsid w:val="00C61174"/>
    <w:rsid w:val="00C6148F"/>
    <w:rsid w:val="00C62D27"/>
    <w:rsid w:val="00C62F7A"/>
    <w:rsid w:val="00C63B9C"/>
    <w:rsid w:val="00C6682F"/>
    <w:rsid w:val="00C70154"/>
    <w:rsid w:val="00C7275E"/>
    <w:rsid w:val="00C72900"/>
    <w:rsid w:val="00C73EB8"/>
    <w:rsid w:val="00C74C5D"/>
    <w:rsid w:val="00C856F4"/>
    <w:rsid w:val="00C86249"/>
    <w:rsid w:val="00C863C4"/>
    <w:rsid w:val="00C9336E"/>
    <w:rsid w:val="00C93C3E"/>
    <w:rsid w:val="00CA12E3"/>
    <w:rsid w:val="00CA6611"/>
    <w:rsid w:val="00CA6AE6"/>
    <w:rsid w:val="00CA782F"/>
    <w:rsid w:val="00CB00E8"/>
    <w:rsid w:val="00CC0C72"/>
    <w:rsid w:val="00CC2BFD"/>
    <w:rsid w:val="00CC6B0E"/>
    <w:rsid w:val="00CC78A4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214F6"/>
    <w:rsid w:val="00D3185C"/>
    <w:rsid w:val="00D33E72"/>
    <w:rsid w:val="00D35BD6"/>
    <w:rsid w:val="00D361B5"/>
    <w:rsid w:val="00D36D91"/>
    <w:rsid w:val="00D40E9B"/>
    <w:rsid w:val="00D411A2"/>
    <w:rsid w:val="00D4606D"/>
    <w:rsid w:val="00D46911"/>
    <w:rsid w:val="00D50B9C"/>
    <w:rsid w:val="00D519F1"/>
    <w:rsid w:val="00D51E03"/>
    <w:rsid w:val="00D52D73"/>
    <w:rsid w:val="00D52E58"/>
    <w:rsid w:val="00D542DE"/>
    <w:rsid w:val="00D55C19"/>
    <w:rsid w:val="00D61437"/>
    <w:rsid w:val="00D714CC"/>
    <w:rsid w:val="00D71A84"/>
    <w:rsid w:val="00D740ED"/>
    <w:rsid w:val="00D75EA7"/>
    <w:rsid w:val="00D81F21"/>
    <w:rsid w:val="00D83E5A"/>
    <w:rsid w:val="00D85AC1"/>
    <w:rsid w:val="00D866F5"/>
    <w:rsid w:val="00D941F7"/>
    <w:rsid w:val="00D95470"/>
    <w:rsid w:val="00D96DE7"/>
    <w:rsid w:val="00DA2619"/>
    <w:rsid w:val="00DA4239"/>
    <w:rsid w:val="00DA4BBF"/>
    <w:rsid w:val="00DB0B61"/>
    <w:rsid w:val="00DC090B"/>
    <w:rsid w:val="00DC1679"/>
    <w:rsid w:val="00DC2CF1"/>
    <w:rsid w:val="00DC4FCF"/>
    <w:rsid w:val="00DC50E0"/>
    <w:rsid w:val="00DC6386"/>
    <w:rsid w:val="00DD0F31"/>
    <w:rsid w:val="00DD1130"/>
    <w:rsid w:val="00DD1951"/>
    <w:rsid w:val="00DD2672"/>
    <w:rsid w:val="00DD6628"/>
    <w:rsid w:val="00DE3250"/>
    <w:rsid w:val="00DE6028"/>
    <w:rsid w:val="00DE78A3"/>
    <w:rsid w:val="00DF1A71"/>
    <w:rsid w:val="00DF5607"/>
    <w:rsid w:val="00DF68C7"/>
    <w:rsid w:val="00DF731A"/>
    <w:rsid w:val="00E06504"/>
    <w:rsid w:val="00E078F1"/>
    <w:rsid w:val="00E11314"/>
    <w:rsid w:val="00E15105"/>
    <w:rsid w:val="00E170DC"/>
    <w:rsid w:val="00E21ED7"/>
    <w:rsid w:val="00E26818"/>
    <w:rsid w:val="00E27CF5"/>
    <w:rsid w:val="00E27FFC"/>
    <w:rsid w:val="00E30B15"/>
    <w:rsid w:val="00E30DF5"/>
    <w:rsid w:val="00E354E4"/>
    <w:rsid w:val="00E40181"/>
    <w:rsid w:val="00E42550"/>
    <w:rsid w:val="00E44021"/>
    <w:rsid w:val="00E47E19"/>
    <w:rsid w:val="00E527FC"/>
    <w:rsid w:val="00E56A01"/>
    <w:rsid w:val="00E629A1"/>
    <w:rsid w:val="00E66F5B"/>
    <w:rsid w:val="00E709A1"/>
    <w:rsid w:val="00E71591"/>
    <w:rsid w:val="00E82C55"/>
    <w:rsid w:val="00E8675F"/>
    <w:rsid w:val="00E92AC3"/>
    <w:rsid w:val="00E93137"/>
    <w:rsid w:val="00E93BFE"/>
    <w:rsid w:val="00EB00E0"/>
    <w:rsid w:val="00EB08AB"/>
    <w:rsid w:val="00EC059F"/>
    <w:rsid w:val="00EC1F24"/>
    <w:rsid w:val="00EC22F6"/>
    <w:rsid w:val="00EC548A"/>
    <w:rsid w:val="00ED236D"/>
    <w:rsid w:val="00ED5B9B"/>
    <w:rsid w:val="00ED653C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047F8"/>
    <w:rsid w:val="00F11037"/>
    <w:rsid w:val="00F16F1B"/>
    <w:rsid w:val="00F250A9"/>
    <w:rsid w:val="00F267D6"/>
    <w:rsid w:val="00F30FF4"/>
    <w:rsid w:val="00F3122E"/>
    <w:rsid w:val="00F331AD"/>
    <w:rsid w:val="00F35287"/>
    <w:rsid w:val="00F36FC5"/>
    <w:rsid w:val="00F43A37"/>
    <w:rsid w:val="00F4641B"/>
    <w:rsid w:val="00F46EB8"/>
    <w:rsid w:val="00F475FB"/>
    <w:rsid w:val="00F511E4"/>
    <w:rsid w:val="00F52D09"/>
    <w:rsid w:val="00F52E08"/>
    <w:rsid w:val="00F55B21"/>
    <w:rsid w:val="00F56EF6"/>
    <w:rsid w:val="00F61A9F"/>
    <w:rsid w:val="00F61CAF"/>
    <w:rsid w:val="00F64696"/>
    <w:rsid w:val="00F65AA9"/>
    <w:rsid w:val="00F65F9C"/>
    <w:rsid w:val="00F6768F"/>
    <w:rsid w:val="00F72C2C"/>
    <w:rsid w:val="00F744A3"/>
    <w:rsid w:val="00F76CAB"/>
    <w:rsid w:val="00F772C6"/>
    <w:rsid w:val="00F80BA2"/>
    <w:rsid w:val="00F815B5"/>
    <w:rsid w:val="00F85195"/>
    <w:rsid w:val="00F86C93"/>
    <w:rsid w:val="00F90D78"/>
    <w:rsid w:val="00F938BA"/>
    <w:rsid w:val="00F97AE6"/>
    <w:rsid w:val="00F97EEC"/>
    <w:rsid w:val="00FA2C46"/>
    <w:rsid w:val="00FA3525"/>
    <w:rsid w:val="00FA3F74"/>
    <w:rsid w:val="00FA4FC8"/>
    <w:rsid w:val="00FA6B8B"/>
    <w:rsid w:val="00FB4CDA"/>
    <w:rsid w:val="00FC0F81"/>
    <w:rsid w:val="00FC281D"/>
    <w:rsid w:val="00FC3761"/>
    <w:rsid w:val="00FC395C"/>
    <w:rsid w:val="00FC3E58"/>
    <w:rsid w:val="00FD3766"/>
    <w:rsid w:val="00FD47C4"/>
    <w:rsid w:val="00FD56BE"/>
    <w:rsid w:val="00FE2DCF"/>
    <w:rsid w:val="00FE50D1"/>
    <w:rsid w:val="00FE76E7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qFormat/>
    <w:rsid w:val="00E30DF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uiPriority w:val="99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99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uiPriority w:val="99"/>
    <w:rsid w:val="00E30DF5"/>
    <w:rPr>
      <w:rFonts w:ascii="Arial" w:eastAsia="Times" w:hAnsi="Arial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99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99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99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99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99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99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C73E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3EB8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C73E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73EB8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C73EB8"/>
    <w:rPr>
      <w:rFonts w:ascii="Cambria" w:hAnsi="Cambria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EB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73EB8"/>
    <w:rPr>
      <w:rFonts w:ascii="Cambria" w:hAnsi="Cambria"/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37681D"/>
    <w:rPr>
      <w:rFonts w:ascii="Cambria" w:hAnsi="Cambria"/>
      <w:lang w:eastAsia="en-US"/>
    </w:rPr>
  </w:style>
  <w:style w:type="numbering" w:customStyle="1" w:styleId="ZZNumbers1">
    <w:name w:val="ZZ Numbers1"/>
    <w:rsid w:val="00926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qFormat/>
    <w:rsid w:val="00E30DF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uiPriority w:val="99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99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uiPriority w:val="99"/>
    <w:rsid w:val="00E30DF5"/>
    <w:rPr>
      <w:rFonts w:ascii="Arial" w:eastAsia="Times" w:hAnsi="Arial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99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99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99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99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99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99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C73E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3EB8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C73E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73EB8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C73EB8"/>
    <w:rPr>
      <w:rFonts w:ascii="Cambria" w:hAnsi="Cambria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EB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73EB8"/>
    <w:rPr>
      <w:rFonts w:ascii="Cambria" w:hAnsi="Cambria"/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37681D"/>
    <w:rPr>
      <w:rFonts w:ascii="Cambria" w:hAnsi="Cambria"/>
      <w:lang w:eastAsia="en-US"/>
    </w:rPr>
  </w:style>
  <w:style w:type="numbering" w:customStyle="1" w:styleId="ZZNumbers1">
    <w:name w:val="ZZ Numbers1"/>
    <w:rsid w:val="0092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ac.dhhs.vic.gov.au/complaints-appeals-and-feedback-process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fac.dhhs.vic.gov.au/victorian-housing-register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VictorianHousingRegister@dhhs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bel2502\LOCALS~1\Temp\notes272254\~558629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DFB3-5FD6-4416-BBBD-D09442B0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~5586298.dot</Template>
  <TotalTime>0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Client Focussed Decisions Operational Guidelines</vt:lpstr>
    </vt:vector>
  </TitlesOfParts>
  <Company>Department of Health and Human Services</Company>
  <LinksUpToDate>false</LinksUpToDate>
  <CharactersWithSpaces>7772</CharactersWithSpaces>
  <SharedDoc>false</SharedDoc>
  <HyperlinkBase/>
  <HLinks>
    <vt:vector size="48" baseType="variant">
      <vt:variant>
        <vt:i4>5243001</vt:i4>
      </vt:variant>
      <vt:variant>
        <vt:i4>45</vt:i4>
      </vt:variant>
      <vt:variant>
        <vt:i4>0</vt:i4>
      </vt:variant>
      <vt:variant>
        <vt:i4>5</vt:i4>
      </vt:variant>
      <vt:variant>
        <vt:lpwstr>mailto:VictorianHousingRegister@dhhs.vic.gov.au</vt:lpwstr>
      </vt:variant>
      <vt:variant>
        <vt:lpwstr/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_Toc495323746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_Toc495323745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_Toc495323744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_Toc495323743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_Toc495323742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_Toc495323741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_Toc495323740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Client Focussed Decisions Operational Guidelines</dc:title>
  <dc:creator>Victorian Housing Register, Service Implementation and Support Branch</dc:creator>
  <cp:keywords>Victorian Housing Register, Client, Focussed, Decisions, Operational, Guidelines</cp:keywords>
  <cp:lastModifiedBy>Dawn T Ah Gee (DHHS)</cp:lastModifiedBy>
  <cp:revision>1</cp:revision>
  <cp:lastPrinted>2017-11-13T03:05:00Z</cp:lastPrinted>
  <dcterms:created xsi:type="dcterms:W3CDTF">2018-03-12T22:41:00Z</dcterms:created>
  <dcterms:modified xsi:type="dcterms:W3CDTF">2018-03-12T22:41:00Z</dcterms:modified>
  <cp:version>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